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2EA74" w14:textId="2961A54F"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7952A2">
        <w:rPr>
          <w:rFonts w:ascii="Calibri" w:hAnsi="Calibri" w:cs="Calibri"/>
        </w:rPr>
        <w:t>4</w:t>
      </w:r>
      <w:r w:rsidR="0062539D">
        <w:rPr>
          <w:rFonts w:ascii="Calibri" w:hAnsi="Calibri" w:cs="Calibri"/>
        </w:rPr>
        <w:t xml:space="preserve"> lipca</w:t>
      </w:r>
      <w:r w:rsidR="00C9060C">
        <w:rPr>
          <w:rFonts w:ascii="Calibri" w:hAnsi="Calibri" w:cs="Calibri"/>
        </w:rPr>
        <w:t xml:space="preserve"> </w:t>
      </w:r>
      <w:r w:rsidR="000F6A3A">
        <w:rPr>
          <w:rFonts w:ascii="Calibri" w:hAnsi="Calibri" w:cs="Calibri"/>
        </w:rPr>
        <w:t>2024</w:t>
      </w:r>
      <w:r w:rsidRPr="007E31FB">
        <w:rPr>
          <w:rFonts w:ascii="Calibri" w:hAnsi="Calibri" w:cs="Calibri"/>
        </w:rPr>
        <w:t xml:space="preserve"> r.</w:t>
      </w:r>
    </w:p>
    <w:p w14:paraId="708D18B6" w14:textId="77777777" w:rsidR="007E31FB" w:rsidRPr="007E31FB" w:rsidRDefault="007E31FB" w:rsidP="007E31FB">
      <w:pPr>
        <w:spacing w:line="240" w:lineRule="auto"/>
        <w:jc w:val="right"/>
        <w:rPr>
          <w:rFonts w:ascii="Calibri" w:hAnsi="Calibri" w:cs="Calibri"/>
        </w:rPr>
      </w:pPr>
    </w:p>
    <w:p w14:paraId="5208F249" w14:textId="090A6FAC" w:rsidR="0062539D" w:rsidRPr="00027207" w:rsidRDefault="0062539D" w:rsidP="00027207">
      <w:pPr>
        <w:spacing w:after="0" w:line="240" w:lineRule="auto"/>
        <w:rPr>
          <w:rFonts w:ascii="Calibri" w:eastAsia="Times New Roman" w:hAnsi="Calibri" w:cs="Calibri"/>
          <w:color w:val="4472C4" w:themeColor="accent1"/>
          <w:sz w:val="30"/>
          <w:szCs w:val="30"/>
          <w:lang w:eastAsia="pl-PL"/>
        </w:rPr>
      </w:pPr>
      <w:r w:rsidRPr="00027207">
        <w:rPr>
          <w:rFonts w:ascii="Calibri" w:eastAsia="Times New Roman" w:hAnsi="Calibri" w:cs="Calibri"/>
          <w:b/>
          <w:bCs/>
          <w:color w:val="4472C4" w:themeColor="accent1"/>
          <w:sz w:val="30"/>
          <w:szCs w:val="30"/>
          <w:lang w:eastAsia="pl-PL"/>
        </w:rPr>
        <w:t xml:space="preserve">Znamy nowe taryfy za gaz i energię elektryczną – ile zapłacimy za ogrzewanie </w:t>
      </w:r>
      <w:r w:rsidR="004824F7">
        <w:rPr>
          <w:rFonts w:ascii="Calibri" w:eastAsia="Times New Roman" w:hAnsi="Calibri" w:cs="Calibri"/>
          <w:b/>
          <w:bCs/>
          <w:color w:val="4472C4" w:themeColor="accent1"/>
          <w:sz w:val="30"/>
          <w:szCs w:val="30"/>
          <w:lang w:eastAsia="pl-PL"/>
        </w:rPr>
        <w:t xml:space="preserve">domów </w:t>
      </w:r>
      <w:r w:rsidRPr="00027207">
        <w:rPr>
          <w:rFonts w:ascii="Calibri" w:eastAsia="Times New Roman" w:hAnsi="Calibri" w:cs="Calibri"/>
          <w:b/>
          <w:bCs/>
          <w:color w:val="4472C4" w:themeColor="accent1"/>
          <w:sz w:val="30"/>
          <w:szCs w:val="30"/>
          <w:lang w:eastAsia="pl-PL"/>
        </w:rPr>
        <w:t xml:space="preserve">po 1 lipca 2024 roku? </w:t>
      </w:r>
      <w:r w:rsidR="004824F7">
        <w:rPr>
          <w:rFonts w:ascii="Calibri" w:eastAsia="Times New Roman" w:hAnsi="Calibri" w:cs="Calibri"/>
          <w:b/>
          <w:bCs/>
          <w:color w:val="4472C4" w:themeColor="accent1"/>
          <w:sz w:val="30"/>
          <w:szCs w:val="30"/>
          <w:lang w:eastAsia="pl-PL"/>
        </w:rPr>
        <w:br/>
      </w:r>
      <w:r w:rsidRPr="00027207">
        <w:rPr>
          <w:rFonts w:ascii="Calibri" w:eastAsia="Times New Roman" w:hAnsi="Calibri" w:cs="Calibri"/>
          <w:b/>
          <w:bCs/>
          <w:color w:val="4472C4" w:themeColor="accent1"/>
          <w:sz w:val="30"/>
          <w:szCs w:val="30"/>
          <w:lang w:eastAsia="pl-PL"/>
        </w:rPr>
        <w:t>Kto zyska, a kto straci najwięcej?</w:t>
      </w:r>
    </w:p>
    <w:p w14:paraId="46E63B01" w14:textId="77777777" w:rsidR="00027207" w:rsidRDefault="00027207" w:rsidP="00027207">
      <w:pPr>
        <w:spacing w:after="0" w:line="240" w:lineRule="auto"/>
        <w:rPr>
          <w:rFonts w:ascii="Calibri" w:eastAsia="Times New Roman" w:hAnsi="Calibri" w:cs="Calibri"/>
          <w:b/>
          <w:bCs/>
          <w:color w:val="000000"/>
          <w:lang w:eastAsia="pl-PL"/>
        </w:rPr>
      </w:pPr>
    </w:p>
    <w:p w14:paraId="1A1AE3AF" w14:textId="26732D7E" w:rsidR="00027207" w:rsidRDefault="0062539D" w:rsidP="00B300B6">
      <w:pPr>
        <w:spacing w:after="100" w:afterAutospacing="1" w:line="240" w:lineRule="auto"/>
        <w:rPr>
          <w:rFonts w:ascii="Calibri" w:eastAsia="Times New Roman" w:hAnsi="Calibri" w:cs="Calibri"/>
          <w:color w:val="000000"/>
          <w:lang w:eastAsia="pl-PL"/>
        </w:rPr>
      </w:pPr>
      <w:r w:rsidRPr="00940A70">
        <w:rPr>
          <w:rFonts w:ascii="Calibri" w:eastAsia="Times New Roman" w:hAnsi="Calibri" w:cs="Calibri"/>
          <w:b/>
          <w:bCs/>
          <w:color w:val="000000"/>
          <w:lang w:eastAsia="pl-PL"/>
        </w:rPr>
        <w:t>PORT</w:t>
      </w:r>
      <w:r>
        <w:rPr>
          <w:rFonts w:ascii="Calibri" w:eastAsia="Times New Roman" w:hAnsi="Calibri" w:cs="Calibri"/>
          <w:b/>
          <w:bCs/>
          <w:color w:val="000000"/>
          <w:lang w:eastAsia="pl-PL"/>
        </w:rPr>
        <w:t xml:space="preserve"> </w:t>
      </w:r>
      <w:r w:rsidRPr="00940A70">
        <w:rPr>
          <w:rFonts w:ascii="Calibri" w:eastAsia="Times New Roman" w:hAnsi="Calibri" w:cs="Calibri"/>
          <w:b/>
          <w:bCs/>
          <w:color w:val="000000"/>
          <w:lang w:eastAsia="pl-PL"/>
        </w:rPr>
        <w:t xml:space="preserve">PC opublikował </w:t>
      </w:r>
      <w:r>
        <w:rPr>
          <w:rFonts w:ascii="Calibri" w:eastAsia="Times New Roman" w:hAnsi="Calibri" w:cs="Calibri"/>
          <w:b/>
          <w:bCs/>
          <w:color w:val="000000"/>
          <w:lang w:eastAsia="pl-PL"/>
        </w:rPr>
        <w:t>prognozy</w:t>
      </w:r>
      <w:r w:rsidRPr="00940A70">
        <w:rPr>
          <w:rFonts w:ascii="Calibri" w:eastAsia="Times New Roman" w:hAnsi="Calibri" w:cs="Calibri"/>
          <w:b/>
          <w:bCs/>
          <w:color w:val="000000"/>
          <w:lang w:eastAsia="pl-PL"/>
        </w:rPr>
        <w:t xml:space="preserve"> kosztów ogrzewania </w:t>
      </w:r>
      <w:r>
        <w:rPr>
          <w:rFonts w:ascii="Calibri" w:eastAsia="Times New Roman" w:hAnsi="Calibri" w:cs="Calibri"/>
          <w:b/>
          <w:bCs/>
          <w:color w:val="000000"/>
          <w:lang w:eastAsia="pl-PL"/>
        </w:rPr>
        <w:t xml:space="preserve">budynków jednorodzinnych </w:t>
      </w:r>
      <w:r w:rsidRPr="00940A70">
        <w:rPr>
          <w:rFonts w:ascii="Calibri" w:eastAsia="Times New Roman" w:hAnsi="Calibri" w:cs="Calibri"/>
          <w:b/>
          <w:bCs/>
          <w:color w:val="000000"/>
          <w:lang w:eastAsia="pl-PL"/>
        </w:rPr>
        <w:t xml:space="preserve">w </w:t>
      </w:r>
      <w:r>
        <w:rPr>
          <w:rFonts w:ascii="Calibri" w:eastAsia="Times New Roman" w:hAnsi="Calibri" w:cs="Calibri"/>
          <w:b/>
          <w:bCs/>
          <w:color w:val="000000"/>
          <w:lang w:eastAsia="pl-PL"/>
        </w:rPr>
        <w:t xml:space="preserve">III kwartale </w:t>
      </w:r>
      <w:r w:rsidRPr="00940A70">
        <w:rPr>
          <w:rFonts w:ascii="Calibri" w:eastAsia="Times New Roman" w:hAnsi="Calibri" w:cs="Calibri"/>
          <w:b/>
          <w:bCs/>
          <w:color w:val="000000"/>
          <w:lang w:eastAsia="pl-PL"/>
        </w:rPr>
        <w:t>202</w:t>
      </w:r>
      <w:r>
        <w:rPr>
          <w:rFonts w:ascii="Calibri" w:eastAsia="Times New Roman" w:hAnsi="Calibri" w:cs="Calibri"/>
          <w:b/>
          <w:bCs/>
          <w:color w:val="000000"/>
          <w:lang w:eastAsia="pl-PL"/>
        </w:rPr>
        <w:t>4</w:t>
      </w:r>
      <w:r w:rsidRPr="00940A70">
        <w:rPr>
          <w:rFonts w:ascii="Calibri" w:eastAsia="Times New Roman" w:hAnsi="Calibri" w:cs="Calibri"/>
          <w:b/>
          <w:bCs/>
          <w:color w:val="000000"/>
          <w:lang w:eastAsia="pl-PL"/>
        </w:rPr>
        <w:t xml:space="preserve"> r. z uwzględnieniem najnowszych taryf zatwierdzonych przez prezesa Urzędu Regulacji Energetyki. Jak wynika z wyliczeń</w:t>
      </w:r>
      <w:r>
        <w:rPr>
          <w:rFonts w:ascii="Calibri" w:eastAsia="Times New Roman" w:hAnsi="Calibri" w:cs="Calibri"/>
          <w:b/>
          <w:bCs/>
          <w:color w:val="000000"/>
          <w:lang w:eastAsia="pl-PL"/>
        </w:rPr>
        <w:t>,</w:t>
      </w:r>
      <w:r w:rsidRPr="00940A70">
        <w:rPr>
          <w:rFonts w:ascii="Calibri" w:eastAsia="Times New Roman" w:hAnsi="Calibri" w:cs="Calibri"/>
          <w:b/>
          <w:bCs/>
          <w:color w:val="000000"/>
          <w:lang w:eastAsia="pl-PL"/>
        </w:rPr>
        <w:t xml:space="preserve"> koszty ogrzewania </w:t>
      </w:r>
      <w:r>
        <w:rPr>
          <w:rFonts w:ascii="Calibri" w:eastAsia="Times New Roman" w:hAnsi="Calibri" w:cs="Calibri"/>
          <w:b/>
          <w:bCs/>
          <w:color w:val="000000"/>
          <w:lang w:eastAsia="pl-PL"/>
        </w:rPr>
        <w:t xml:space="preserve">po 1 lipca </w:t>
      </w:r>
      <w:r w:rsidRPr="00940A70">
        <w:rPr>
          <w:rFonts w:ascii="Calibri" w:eastAsia="Times New Roman" w:hAnsi="Calibri" w:cs="Calibri"/>
          <w:b/>
          <w:bCs/>
          <w:color w:val="000000"/>
          <w:lang w:eastAsia="pl-PL"/>
        </w:rPr>
        <w:t>202</w:t>
      </w:r>
      <w:r>
        <w:rPr>
          <w:rFonts w:ascii="Calibri" w:eastAsia="Times New Roman" w:hAnsi="Calibri" w:cs="Calibri"/>
          <w:b/>
          <w:bCs/>
          <w:color w:val="000000"/>
          <w:lang w:eastAsia="pl-PL"/>
        </w:rPr>
        <w:t>4 r. zmienią się istotnie, szczególnie w przypadku kotłów gazowych i elektrycznych pomp ciepła</w:t>
      </w:r>
      <w:r w:rsidRPr="00940A70">
        <w:rPr>
          <w:rFonts w:ascii="Calibri" w:eastAsia="Times New Roman" w:hAnsi="Calibri" w:cs="Calibri"/>
          <w:b/>
          <w:bCs/>
          <w:color w:val="000000"/>
          <w:lang w:eastAsia="pl-PL"/>
        </w:rPr>
        <w:t>. W najlepszej sytuacji będą użytkownicy pomp ciepła</w:t>
      </w:r>
      <w:r>
        <w:rPr>
          <w:rFonts w:ascii="Calibri" w:eastAsia="Times New Roman" w:hAnsi="Calibri" w:cs="Calibri"/>
          <w:b/>
          <w:bCs/>
          <w:color w:val="000000"/>
          <w:lang w:eastAsia="pl-PL"/>
        </w:rPr>
        <w:t xml:space="preserve"> − tutaj koszty spadły o 10%.</w:t>
      </w:r>
    </w:p>
    <w:p w14:paraId="0B9088ED" w14:textId="4F5C1192" w:rsidR="0062539D" w:rsidRPr="00027207" w:rsidRDefault="0062539D" w:rsidP="00B300B6">
      <w:pPr>
        <w:spacing w:after="100" w:afterAutospacing="1" w:line="240" w:lineRule="auto"/>
        <w:rPr>
          <w:rFonts w:cstheme="minorHAnsi"/>
          <w:b/>
          <w:bCs/>
          <w:u w:val="single"/>
        </w:rPr>
      </w:pPr>
      <w:r w:rsidRPr="0062539D">
        <w:rPr>
          <w:rFonts w:cstheme="minorHAnsi"/>
          <w:b/>
          <w:bCs/>
          <w:color w:val="4472C4" w:themeColor="accent1"/>
          <w:u w:val="single"/>
        </w:rPr>
        <w:t>Odpowiedź na falę dezinformacji</w:t>
      </w:r>
    </w:p>
    <w:p w14:paraId="6A5173D6" w14:textId="78CECAB4" w:rsidR="0062539D" w:rsidRDefault="0062539D" w:rsidP="00B300B6">
      <w:pPr>
        <w:pStyle w:val="Default"/>
        <w:spacing w:after="100" w:afterAutospacing="1"/>
        <w:rPr>
          <w:rFonts w:asciiTheme="minorHAnsi" w:hAnsiTheme="minorHAnsi" w:cstheme="minorHAnsi"/>
          <w:color w:val="auto"/>
          <w:sz w:val="22"/>
          <w:szCs w:val="22"/>
        </w:rPr>
      </w:pPr>
      <w:r>
        <w:rPr>
          <w:rFonts w:asciiTheme="minorHAnsi" w:hAnsiTheme="minorHAnsi" w:cstheme="minorHAnsi"/>
          <w:color w:val="auto"/>
          <w:sz w:val="22"/>
          <w:szCs w:val="22"/>
        </w:rPr>
        <w:t xml:space="preserve">Przez ostatnie miesiące byliśmy wręcz zalewani medialnymi przekazami o planowanym drastycznym wzroście cen energii elektrycznej, a szum informacyjny mocno utrudniał przebicie się rzetelnym informacjom. W dodatku, pisząc o podwyżkach, często nie wyjaśniano, że nie chodzi ogólnie o ceny energii elektrycznej (rynkowe), bo te generalnie wykazują tendencję spadkową, a jedynie o ceny mrożone, czyli pewną pulę taniej energii przyznaną gospodarstwom domowym. Dawało to pole do manipulacji – straszenia istotnym wzrostem kosztów ogrzewania domu elektryczną pompą ciepła, choć odmrażanie cen nie mogło mieć na to większego wpływu. Pula taniej energii była zbyt mała, by uwzględniać pracę pompy ciepła, a zatem koszty jej eksploatacji w większości wynikały z cen realnych, rynkowych, a nie mrożonych. Kolejna dezinformacja to skala podwyżek, zwłaszcza w relacji z gazem ziemnym. O planowanym wzroście cen gazu pisano rzadko, w dodatku zaniżając prognozy. </w:t>
      </w:r>
    </w:p>
    <w:p w14:paraId="42E1A56B" w14:textId="51D5D725" w:rsidR="0062539D" w:rsidRDefault="0062539D" w:rsidP="00B300B6">
      <w:pPr>
        <w:pStyle w:val="Default"/>
        <w:spacing w:after="100" w:afterAutospacing="1"/>
        <w:rPr>
          <w:rFonts w:asciiTheme="minorHAnsi" w:hAnsiTheme="minorHAnsi" w:cstheme="minorHAnsi"/>
          <w:color w:val="auto"/>
          <w:sz w:val="22"/>
          <w:szCs w:val="22"/>
        </w:rPr>
      </w:pPr>
      <w:r>
        <w:rPr>
          <w:rFonts w:asciiTheme="minorHAnsi" w:hAnsiTheme="minorHAnsi" w:cstheme="minorHAnsi"/>
          <w:color w:val="auto"/>
          <w:sz w:val="22"/>
          <w:szCs w:val="22"/>
        </w:rPr>
        <w:t xml:space="preserve">Teraz, po decyzji prezesa URE, wszystko jest już jasne. Jak zatem będzie wyglądać sytuacja w kolejnych miesiącach po 1 lipca 2024 r.? </w:t>
      </w:r>
    </w:p>
    <w:p w14:paraId="6593D1FC" w14:textId="11BFA9EE" w:rsidR="0062539D" w:rsidRDefault="0062539D" w:rsidP="00B300B6">
      <w:pPr>
        <w:pStyle w:val="Default"/>
        <w:spacing w:after="100" w:afterAutospacing="1"/>
        <w:rPr>
          <w:rFonts w:asciiTheme="minorHAnsi" w:hAnsiTheme="minorHAnsi" w:cstheme="minorHAnsi"/>
          <w:b/>
          <w:bCs/>
          <w:color w:val="4472C4" w:themeColor="accent1"/>
          <w:sz w:val="22"/>
          <w:szCs w:val="22"/>
          <w:u w:val="single"/>
        </w:rPr>
      </w:pPr>
      <w:r w:rsidRPr="0062539D">
        <w:rPr>
          <w:rFonts w:asciiTheme="minorHAnsi" w:hAnsiTheme="minorHAnsi" w:cstheme="minorHAnsi"/>
          <w:b/>
          <w:bCs/>
          <w:color w:val="4472C4" w:themeColor="accent1"/>
          <w:sz w:val="22"/>
          <w:szCs w:val="22"/>
          <w:u w:val="single"/>
        </w:rPr>
        <w:t>Taniej dla pomp ciepła, drożej dla kotłów gazowych</w:t>
      </w:r>
    </w:p>
    <w:p w14:paraId="72EBA1C3" w14:textId="1A31A670" w:rsidR="0062539D" w:rsidRDefault="0062539D" w:rsidP="00B300B6">
      <w:pPr>
        <w:pStyle w:val="Default"/>
        <w:spacing w:after="100" w:afterAutospacing="1"/>
        <w:rPr>
          <w:rFonts w:asciiTheme="minorHAnsi" w:hAnsiTheme="minorHAnsi" w:cstheme="minorHAnsi"/>
          <w:color w:val="auto"/>
          <w:sz w:val="22"/>
          <w:szCs w:val="22"/>
        </w:rPr>
      </w:pPr>
      <w:r>
        <w:rPr>
          <w:rFonts w:asciiTheme="minorHAnsi" w:hAnsiTheme="minorHAnsi" w:cstheme="minorHAnsi"/>
          <w:color w:val="auto"/>
          <w:sz w:val="22"/>
          <w:szCs w:val="22"/>
        </w:rPr>
        <w:t xml:space="preserve">Z satysfakcją można powiedzieć, że </w:t>
      </w:r>
      <w:r w:rsidRPr="0062539D">
        <w:rPr>
          <w:rFonts w:asciiTheme="minorHAnsi" w:hAnsiTheme="minorHAnsi" w:cstheme="minorHAnsi"/>
          <w:b/>
          <w:bCs/>
          <w:color w:val="auto"/>
          <w:sz w:val="22"/>
          <w:szCs w:val="22"/>
        </w:rPr>
        <w:t xml:space="preserve">dla pomp ciepła sytuacja jest </w:t>
      </w:r>
      <w:r w:rsidR="00B300B6">
        <w:rPr>
          <w:rFonts w:asciiTheme="minorHAnsi" w:hAnsiTheme="minorHAnsi" w:cstheme="minorHAnsi"/>
          <w:b/>
          <w:bCs/>
          <w:color w:val="auto"/>
          <w:sz w:val="22"/>
          <w:szCs w:val="22"/>
        </w:rPr>
        <w:t>zdecydowanie</w:t>
      </w:r>
      <w:r>
        <w:rPr>
          <w:rFonts w:asciiTheme="minorHAnsi" w:hAnsiTheme="minorHAnsi" w:cstheme="minorHAnsi"/>
          <w:color w:val="auto"/>
          <w:sz w:val="22"/>
          <w:szCs w:val="22"/>
        </w:rPr>
        <w:t xml:space="preserve"> </w:t>
      </w:r>
      <w:r w:rsidRPr="00C70C42">
        <w:rPr>
          <w:rFonts w:asciiTheme="minorHAnsi" w:hAnsiTheme="minorHAnsi" w:cstheme="minorHAnsi"/>
          <w:b/>
          <w:bCs/>
          <w:color w:val="auto"/>
          <w:sz w:val="22"/>
          <w:szCs w:val="22"/>
        </w:rPr>
        <w:t>korzystniej</w:t>
      </w:r>
      <w:r>
        <w:rPr>
          <w:rFonts w:asciiTheme="minorHAnsi" w:hAnsiTheme="minorHAnsi" w:cstheme="minorHAnsi"/>
          <w:b/>
          <w:bCs/>
          <w:color w:val="auto"/>
          <w:sz w:val="22"/>
          <w:szCs w:val="22"/>
        </w:rPr>
        <w:t>sza</w:t>
      </w:r>
      <w:r>
        <w:rPr>
          <w:rFonts w:asciiTheme="minorHAnsi" w:hAnsiTheme="minorHAnsi" w:cstheme="minorHAnsi"/>
          <w:color w:val="auto"/>
          <w:sz w:val="22"/>
          <w:szCs w:val="22"/>
        </w:rPr>
        <w:t xml:space="preserve">. W 2024 r. wyraźnie poprawia się ich konkurencyjność w zakresie kosztów eksploatacji. Z uwagi na spadek rynkowych cen energii elektrycznej, użytkownicy pomp ciepła korzystający z taryfy strefowej G12w zyskali już od początku 2024 r. </w:t>
      </w:r>
      <w:r w:rsidRPr="0062539D">
        <w:rPr>
          <w:rFonts w:asciiTheme="minorHAnsi" w:hAnsiTheme="minorHAnsi" w:cstheme="minorHAnsi"/>
          <w:b/>
          <w:bCs/>
          <w:color w:val="auto"/>
          <w:sz w:val="22"/>
          <w:szCs w:val="22"/>
        </w:rPr>
        <w:t>realną obniżkę kosztów tej energii</w:t>
      </w:r>
      <w:r>
        <w:rPr>
          <w:rFonts w:asciiTheme="minorHAnsi" w:hAnsiTheme="minorHAnsi" w:cstheme="minorHAnsi"/>
          <w:color w:val="auto"/>
          <w:sz w:val="22"/>
          <w:szCs w:val="22"/>
        </w:rPr>
        <w:t xml:space="preserve"> </w:t>
      </w:r>
      <w:r w:rsidRPr="0062539D">
        <w:rPr>
          <w:rFonts w:asciiTheme="minorHAnsi" w:hAnsiTheme="minorHAnsi" w:cstheme="minorHAnsi"/>
          <w:b/>
          <w:bCs/>
          <w:color w:val="auto"/>
          <w:sz w:val="22"/>
          <w:szCs w:val="22"/>
        </w:rPr>
        <w:t>o około 10%</w:t>
      </w:r>
      <w:r>
        <w:rPr>
          <w:rFonts w:asciiTheme="minorHAnsi" w:hAnsiTheme="minorHAnsi" w:cstheme="minorHAnsi"/>
          <w:color w:val="auto"/>
          <w:sz w:val="22"/>
          <w:szCs w:val="22"/>
        </w:rPr>
        <w:t xml:space="preserve">. </w:t>
      </w:r>
      <w:r w:rsidR="00D54443" w:rsidRPr="007952A2">
        <w:rPr>
          <w:rFonts w:asciiTheme="minorHAnsi" w:hAnsiTheme="minorHAnsi" w:cstheme="minorHAnsi"/>
          <w:color w:val="auto"/>
          <w:sz w:val="22"/>
          <w:szCs w:val="22"/>
        </w:rPr>
        <w:t>Warto podkreślić, że z</w:t>
      </w:r>
      <w:r w:rsidR="00D54443" w:rsidRPr="007952A2">
        <w:rPr>
          <w:rFonts w:asciiTheme="minorHAnsi" w:hAnsiTheme="minorHAnsi" w:cstheme="minorHAnsi"/>
          <w:sz w:val="22"/>
          <w:szCs w:val="22"/>
          <w14:ligatures w14:val="none"/>
        </w:rPr>
        <w:t xml:space="preserve">awdzięczają to </w:t>
      </w:r>
      <w:r w:rsidR="007952A2" w:rsidRPr="007952A2">
        <w:rPr>
          <w:rFonts w:asciiTheme="minorHAnsi" w:hAnsiTheme="minorHAnsi" w:cstheme="minorHAnsi"/>
          <w:sz w:val="22"/>
          <w:szCs w:val="22"/>
          <w14:ligatures w14:val="none"/>
        </w:rPr>
        <w:t>głownie</w:t>
      </w:r>
      <w:r w:rsidR="00D54443" w:rsidRPr="007952A2">
        <w:rPr>
          <w:rFonts w:asciiTheme="minorHAnsi" w:hAnsiTheme="minorHAnsi" w:cstheme="minorHAnsi"/>
          <w:sz w:val="22"/>
          <w:szCs w:val="22"/>
          <w14:ligatures w14:val="none"/>
        </w:rPr>
        <w:t xml:space="preserve"> spadkom cen </w:t>
      </w:r>
      <w:r w:rsidR="007952A2" w:rsidRPr="007952A2">
        <w:rPr>
          <w:rFonts w:asciiTheme="minorHAnsi" w:hAnsiTheme="minorHAnsi" w:cstheme="minorHAnsi"/>
          <w:sz w:val="22"/>
          <w:szCs w:val="22"/>
          <w14:ligatures w14:val="none"/>
        </w:rPr>
        <w:t xml:space="preserve">energii </w:t>
      </w:r>
      <w:r w:rsidR="00D54443" w:rsidRPr="007952A2">
        <w:rPr>
          <w:rFonts w:asciiTheme="minorHAnsi" w:hAnsiTheme="minorHAnsi" w:cstheme="minorHAnsi"/>
          <w:sz w:val="22"/>
          <w:szCs w:val="22"/>
          <w14:ligatures w14:val="none"/>
        </w:rPr>
        <w:t xml:space="preserve">na giełdzie. Niestety, przez ostatnie 2 lata rządzący nie dostrzegali tej grupy odbiorców, chociaż ponosili oni największe koszty kryzysu </w:t>
      </w:r>
      <w:r w:rsidR="007952A2" w:rsidRPr="007952A2">
        <w:rPr>
          <w:rFonts w:asciiTheme="minorHAnsi" w:hAnsiTheme="minorHAnsi" w:cstheme="minorHAnsi"/>
          <w:sz w:val="22"/>
          <w:szCs w:val="22"/>
          <w14:ligatures w14:val="none"/>
        </w:rPr>
        <w:t xml:space="preserve">energetycznego </w:t>
      </w:r>
      <w:r w:rsidR="00D54443" w:rsidRPr="007952A2">
        <w:rPr>
          <w:rFonts w:asciiTheme="minorHAnsi" w:hAnsiTheme="minorHAnsi" w:cstheme="minorHAnsi"/>
          <w:sz w:val="22"/>
          <w:szCs w:val="22"/>
          <w14:ligatures w14:val="none"/>
        </w:rPr>
        <w:t>wywołanego napaścią Rosji na Ukrainę. Są jednak symptomy zmiany podejścia.</w:t>
      </w:r>
      <w:r w:rsidR="00D54443">
        <w:rPr>
          <w:rFonts w:asciiTheme="minorHAnsi" w:hAnsiTheme="minorHAnsi" w:cstheme="minorHAnsi"/>
          <w:sz w:val="22"/>
          <w:szCs w:val="22"/>
          <w14:ligatures w14:val="none"/>
        </w:rPr>
        <w:t xml:space="preserve"> </w:t>
      </w:r>
      <w:r>
        <w:rPr>
          <w:rFonts w:asciiTheme="minorHAnsi" w:hAnsiTheme="minorHAnsi" w:cstheme="minorHAnsi"/>
          <w:color w:val="auto"/>
          <w:sz w:val="22"/>
          <w:szCs w:val="22"/>
        </w:rPr>
        <w:t xml:space="preserve">Po 1 lipca 2024 r. </w:t>
      </w:r>
      <w:r w:rsidR="00D54443">
        <w:rPr>
          <w:rFonts w:asciiTheme="minorHAnsi" w:hAnsiTheme="minorHAnsi" w:cstheme="minorHAnsi"/>
          <w:color w:val="auto"/>
          <w:sz w:val="22"/>
          <w:szCs w:val="22"/>
        </w:rPr>
        <w:t xml:space="preserve">użytkownicy pomp ciepła </w:t>
      </w:r>
      <w:r>
        <w:rPr>
          <w:rFonts w:asciiTheme="minorHAnsi" w:hAnsiTheme="minorHAnsi" w:cstheme="minorHAnsi"/>
          <w:color w:val="auto"/>
          <w:sz w:val="22"/>
          <w:szCs w:val="22"/>
        </w:rPr>
        <w:t xml:space="preserve">mogą liczyć </w:t>
      </w:r>
      <w:r w:rsidRPr="0062539D">
        <w:rPr>
          <w:rFonts w:asciiTheme="minorHAnsi" w:hAnsiTheme="minorHAnsi" w:cstheme="minorHAnsi"/>
          <w:b/>
          <w:bCs/>
          <w:color w:val="auto"/>
          <w:sz w:val="22"/>
          <w:szCs w:val="22"/>
        </w:rPr>
        <w:t>na kolejną obniżkę</w:t>
      </w:r>
      <w:r w:rsidR="00D54443">
        <w:rPr>
          <w:rFonts w:asciiTheme="minorHAnsi" w:hAnsiTheme="minorHAnsi" w:cstheme="minorHAnsi"/>
          <w:b/>
          <w:bCs/>
          <w:color w:val="auto"/>
          <w:sz w:val="22"/>
          <w:szCs w:val="22"/>
        </w:rPr>
        <w:t xml:space="preserve"> cen</w:t>
      </w:r>
      <w:r>
        <w:rPr>
          <w:rFonts w:asciiTheme="minorHAnsi" w:hAnsiTheme="minorHAnsi" w:cstheme="minorHAnsi"/>
          <w:color w:val="auto"/>
          <w:sz w:val="22"/>
          <w:szCs w:val="22"/>
        </w:rPr>
        <w:t xml:space="preserve"> (razem z dystrybucją), również na poziomie 10%.</w:t>
      </w:r>
    </w:p>
    <w:p w14:paraId="54A9A149" w14:textId="3626B8FC" w:rsidR="0062539D" w:rsidRDefault="0062539D" w:rsidP="00B300B6">
      <w:pPr>
        <w:pStyle w:val="Default"/>
        <w:spacing w:after="100" w:afterAutospacing="1"/>
        <w:rPr>
          <w:rFonts w:asciiTheme="minorHAnsi" w:hAnsiTheme="minorHAnsi" w:cstheme="minorHAnsi"/>
          <w:color w:val="auto"/>
          <w:sz w:val="22"/>
          <w:szCs w:val="22"/>
        </w:rPr>
      </w:pPr>
      <w:r>
        <w:rPr>
          <w:rFonts w:asciiTheme="minorHAnsi" w:hAnsiTheme="minorHAnsi" w:cstheme="minorHAnsi"/>
          <w:color w:val="auto"/>
          <w:sz w:val="22"/>
          <w:szCs w:val="22"/>
        </w:rPr>
        <w:t xml:space="preserve">Ustawa o czasowym ograniczeniu cen energii, gazu ziemnego i ciepła systemowego, która weszła w życie 1 lipca 2024 r., przedłuża mrożenie cen energii elektrycznej dla gospodarstw domowych do końca 2024 r. i jednocześnie podnosi poziom tych cen. </w:t>
      </w:r>
      <w:r w:rsidRPr="0062539D">
        <w:rPr>
          <w:rFonts w:asciiTheme="minorHAnsi" w:hAnsiTheme="minorHAnsi" w:cstheme="minorHAnsi"/>
          <w:b/>
          <w:bCs/>
          <w:color w:val="auto"/>
          <w:sz w:val="22"/>
          <w:szCs w:val="22"/>
        </w:rPr>
        <w:t>Znosi jednak limity zużycia tańszej energii</w:t>
      </w:r>
      <w:r>
        <w:rPr>
          <w:rFonts w:asciiTheme="minorHAnsi" w:hAnsiTheme="minorHAnsi" w:cstheme="minorHAnsi"/>
          <w:color w:val="auto"/>
          <w:sz w:val="22"/>
          <w:szCs w:val="22"/>
        </w:rPr>
        <w:t xml:space="preserve">, dzięki czemu cała energia zużywana w domach wyposażonych w pompy ciepła będzie liczona według cen mrożonych, niższych niż rynkowe. To dobra wiadomość dla użytkowników pomp ciepła. Zniesienie limitów oznacza, że pomimo wzrostu poziomu mrożonych cen energii i opłat dystrybucyjnych, za ogrzewanie pompą ciepła </w:t>
      </w:r>
      <w:r w:rsidRPr="0062539D">
        <w:rPr>
          <w:rFonts w:asciiTheme="minorHAnsi" w:hAnsiTheme="minorHAnsi" w:cstheme="minorHAnsi"/>
          <w:b/>
          <w:bCs/>
          <w:color w:val="auto"/>
          <w:sz w:val="22"/>
          <w:szCs w:val="22"/>
        </w:rPr>
        <w:t>zapłacą mniej o kolejne 10%</w:t>
      </w:r>
      <w:r>
        <w:rPr>
          <w:rFonts w:asciiTheme="minorHAnsi" w:hAnsiTheme="minorHAnsi" w:cstheme="minorHAnsi"/>
          <w:color w:val="auto"/>
          <w:sz w:val="22"/>
          <w:szCs w:val="22"/>
        </w:rPr>
        <w:t xml:space="preserve"> i to niezależnie od wyboru taryfy dystrybucyjnej.</w:t>
      </w:r>
    </w:p>
    <w:p w14:paraId="713F2B53" w14:textId="4B8208C2" w:rsidR="00027207" w:rsidRDefault="0062539D" w:rsidP="00B300B6">
      <w:pPr>
        <w:pStyle w:val="Default"/>
        <w:spacing w:after="100" w:afterAutospacing="1"/>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Jednocześnie nasz rząd zdecydował się </w:t>
      </w:r>
      <w:r w:rsidRPr="0062539D">
        <w:rPr>
          <w:rFonts w:asciiTheme="minorHAnsi" w:hAnsiTheme="minorHAnsi" w:cstheme="minorHAnsi"/>
          <w:b/>
          <w:bCs/>
          <w:color w:val="auto"/>
          <w:sz w:val="22"/>
          <w:szCs w:val="22"/>
        </w:rPr>
        <w:t>częściowo urealnić ceny gazu ziemnego</w:t>
      </w:r>
      <w:r>
        <w:rPr>
          <w:rFonts w:asciiTheme="minorHAnsi" w:hAnsiTheme="minorHAnsi" w:cstheme="minorHAnsi"/>
          <w:color w:val="auto"/>
          <w:sz w:val="22"/>
          <w:szCs w:val="22"/>
        </w:rPr>
        <w:t xml:space="preserve"> – więcej niż sądzono wzrosną ceny tego paliwa (średnio o ok. 19%) oraz stawki za jego dystrybucję, a przeciętny wzrost rachunków przy ogrzewaniu domu kotłem gazowym, przy uwzględnieniu VAT, wyniesie </w:t>
      </w:r>
      <w:r w:rsidR="007952A2">
        <w:rPr>
          <w:rFonts w:asciiTheme="minorHAnsi" w:hAnsiTheme="minorHAnsi" w:cstheme="minorHAnsi"/>
          <w:color w:val="auto"/>
          <w:sz w:val="22"/>
          <w:szCs w:val="22"/>
        </w:rPr>
        <w:t xml:space="preserve">ok. </w:t>
      </w:r>
      <w:r>
        <w:rPr>
          <w:rFonts w:asciiTheme="minorHAnsi" w:hAnsiTheme="minorHAnsi" w:cstheme="minorHAnsi"/>
          <w:color w:val="auto"/>
          <w:sz w:val="22"/>
          <w:szCs w:val="22"/>
        </w:rPr>
        <w:t xml:space="preserve">22%. </w:t>
      </w:r>
    </w:p>
    <w:p w14:paraId="5184C68A" w14:textId="77777777" w:rsidR="0062539D" w:rsidRDefault="0062539D" w:rsidP="00B300B6">
      <w:pPr>
        <w:pStyle w:val="Default"/>
        <w:spacing w:after="100" w:afterAutospacing="1"/>
        <w:rPr>
          <w:rFonts w:ascii="Calibri" w:eastAsia="Times New Roman" w:hAnsi="Calibri" w:cs="Calibri"/>
          <w:b/>
          <w:bCs/>
          <w:color w:val="4472C4" w:themeColor="accent1"/>
          <w:sz w:val="22"/>
          <w:szCs w:val="22"/>
          <w:u w:val="single"/>
          <w:lang w:eastAsia="pl-PL"/>
        </w:rPr>
      </w:pPr>
      <w:r w:rsidRPr="0062539D">
        <w:rPr>
          <w:rFonts w:ascii="Calibri" w:eastAsia="Times New Roman" w:hAnsi="Calibri" w:cs="Calibri"/>
          <w:b/>
          <w:bCs/>
          <w:color w:val="4472C4" w:themeColor="accent1"/>
          <w:sz w:val="22"/>
          <w:szCs w:val="22"/>
          <w:u w:val="single"/>
          <w:lang w:eastAsia="pl-PL"/>
        </w:rPr>
        <w:t>Ile zapłacimy za ogrzewanie domu?</w:t>
      </w:r>
    </w:p>
    <w:p w14:paraId="6DC16D6D" w14:textId="77777777" w:rsidR="0062539D" w:rsidRDefault="0062539D" w:rsidP="00B300B6">
      <w:pPr>
        <w:pStyle w:val="Default"/>
        <w:spacing w:after="100" w:afterAutospacing="1"/>
        <w:rPr>
          <w:rFonts w:ascii="Calibri" w:eastAsia="Times New Roman" w:hAnsi="Calibri" w:cs="Calibri"/>
          <w:sz w:val="22"/>
          <w:szCs w:val="22"/>
          <w:lang w:eastAsia="pl-PL"/>
        </w:rPr>
      </w:pPr>
      <w:r w:rsidRPr="00DA2E96">
        <w:rPr>
          <w:rFonts w:ascii="Calibri" w:eastAsia="Times New Roman" w:hAnsi="Calibri" w:cs="Calibri"/>
          <w:sz w:val="22"/>
          <w:szCs w:val="22"/>
          <w:lang w:eastAsia="pl-PL"/>
        </w:rPr>
        <w:t>Jak wynika z wyliczeń symulacji kosztów</w:t>
      </w:r>
      <w:r>
        <w:rPr>
          <w:rFonts w:ascii="Calibri" w:eastAsia="Times New Roman" w:hAnsi="Calibri" w:cs="Calibri"/>
          <w:sz w:val="22"/>
          <w:szCs w:val="22"/>
          <w:lang w:eastAsia="pl-PL"/>
        </w:rPr>
        <w:t xml:space="preserve"> wykonanych przez PORT PC,</w:t>
      </w:r>
      <w:r w:rsidRPr="00DA2E96">
        <w:rPr>
          <w:rFonts w:ascii="Calibri" w:eastAsia="Times New Roman" w:hAnsi="Calibri" w:cs="Calibri"/>
          <w:sz w:val="22"/>
          <w:szCs w:val="22"/>
          <w:lang w:eastAsia="pl-PL"/>
        </w:rPr>
        <w:t xml:space="preserve"> najniższe rachunki </w:t>
      </w:r>
      <w:r>
        <w:rPr>
          <w:rFonts w:ascii="Calibri" w:eastAsia="Times New Roman" w:hAnsi="Calibri" w:cs="Calibri"/>
          <w:sz w:val="22"/>
          <w:szCs w:val="22"/>
          <w:lang w:eastAsia="pl-PL"/>
        </w:rPr>
        <w:t xml:space="preserve">za ogrzewanie domu </w:t>
      </w:r>
      <w:r w:rsidRPr="00DA2E96">
        <w:rPr>
          <w:rFonts w:ascii="Calibri" w:eastAsia="Times New Roman" w:hAnsi="Calibri" w:cs="Calibri"/>
          <w:sz w:val="22"/>
          <w:szCs w:val="22"/>
          <w:lang w:eastAsia="pl-PL"/>
        </w:rPr>
        <w:t>będą płacić właściciele gruntowych pomp ciepła</w:t>
      </w:r>
      <w:r>
        <w:rPr>
          <w:rFonts w:ascii="Calibri" w:eastAsia="Times New Roman" w:hAnsi="Calibri" w:cs="Calibri"/>
          <w:sz w:val="22"/>
          <w:szCs w:val="22"/>
          <w:lang w:eastAsia="pl-PL"/>
        </w:rPr>
        <w:t xml:space="preserve"> z instalacjami ogrzewania podłogowego</w:t>
      </w:r>
      <w:r w:rsidRPr="00DA2E96">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Najwyższe, tradycyjnie − posiadacze kotłów elektrycznych oraz kotłów na olej opałowy. Wzrosły koszty ogrzewania domu gazem ziemnym.</w:t>
      </w:r>
    </w:p>
    <w:p w14:paraId="308FF1E0" w14:textId="050EFF94" w:rsidR="0062539D" w:rsidRDefault="0062539D" w:rsidP="00B300B6">
      <w:pPr>
        <w:pStyle w:val="Default"/>
        <w:spacing w:after="100" w:afterAutospacing="1"/>
        <w:rPr>
          <w:rFonts w:ascii="Calibri" w:eastAsia="Times New Roman" w:hAnsi="Calibri" w:cs="Calibri"/>
          <w:sz w:val="22"/>
          <w:szCs w:val="22"/>
          <w:lang w:eastAsia="pl-PL"/>
        </w:rPr>
      </w:pPr>
      <w:r>
        <w:rPr>
          <w:rFonts w:ascii="Calibri" w:eastAsia="Times New Roman" w:hAnsi="Calibri" w:cs="Calibri"/>
          <w:i/>
          <w:iCs/>
          <w:sz w:val="22"/>
          <w:szCs w:val="22"/>
          <w:lang w:eastAsia="pl-PL"/>
        </w:rPr>
        <w:t>−</w:t>
      </w:r>
      <w:r w:rsidRPr="00DA2E96">
        <w:rPr>
          <w:rFonts w:ascii="Calibri" w:eastAsia="Times New Roman" w:hAnsi="Calibri" w:cs="Calibri"/>
          <w:i/>
          <w:iCs/>
          <w:sz w:val="22"/>
          <w:szCs w:val="22"/>
          <w:lang w:eastAsia="pl-PL"/>
        </w:rPr>
        <w:t xml:space="preserve"> Różnice w kosztach ogrzewania </w:t>
      </w:r>
      <w:r>
        <w:rPr>
          <w:rFonts w:ascii="Calibri" w:eastAsia="Times New Roman" w:hAnsi="Calibri" w:cs="Calibri"/>
          <w:i/>
          <w:iCs/>
          <w:sz w:val="22"/>
          <w:szCs w:val="22"/>
          <w:lang w:eastAsia="pl-PL"/>
        </w:rPr>
        <w:t xml:space="preserve">domu </w:t>
      </w:r>
      <w:r w:rsidRPr="00DA2E96">
        <w:rPr>
          <w:rFonts w:ascii="Calibri" w:eastAsia="Times New Roman" w:hAnsi="Calibri" w:cs="Calibri"/>
          <w:i/>
          <w:iCs/>
          <w:sz w:val="22"/>
          <w:szCs w:val="22"/>
          <w:lang w:eastAsia="pl-PL"/>
        </w:rPr>
        <w:t>pomp</w:t>
      </w:r>
      <w:r>
        <w:rPr>
          <w:rFonts w:ascii="Calibri" w:eastAsia="Times New Roman" w:hAnsi="Calibri" w:cs="Calibri"/>
          <w:i/>
          <w:iCs/>
          <w:sz w:val="22"/>
          <w:szCs w:val="22"/>
          <w:lang w:eastAsia="pl-PL"/>
        </w:rPr>
        <w:t xml:space="preserve">ą </w:t>
      </w:r>
      <w:r w:rsidRPr="00DA2E96">
        <w:rPr>
          <w:rFonts w:ascii="Calibri" w:eastAsia="Times New Roman" w:hAnsi="Calibri" w:cs="Calibri"/>
          <w:i/>
          <w:iCs/>
          <w:sz w:val="22"/>
          <w:szCs w:val="22"/>
          <w:lang w:eastAsia="pl-PL"/>
        </w:rPr>
        <w:t xml:space="preserve">ciepła </w:t>
      </w:r>
      <w:r>
        <w:rPr>
          <w:rFonts w:ascii="Calibri" w:eastAsia="Times New Roman" w:hAnsi="Calibri" w:cs="Calibri"/>
          <w:i/>
          <w:iCs/>
          <w:sz w:val="22"/>
          <w:szCs w:val="22"/>
          <w:lang w:eastAsia="pl-PL"/>
        </w:rPr>
        <w:t>i</w:t>
      </w:r>
      <w:r w:rsidRPr="00DA2E96">
        <w:rPr>
          <w:rFonts w:ascii="Calibri" w:eastAsia="Times New Roman" w:hAnsi="Calibri" w:cs="Calibri"/>
          <w:i/>
          <w:iCs/>
          <w:sz w:val="22"/>
          <w:szCs w:val="22"/>
          <w:lang w:eastAsia="pl-PL"/>
        </w:rPr>
        <w:t xml:space="preserve"> gazowy</w:t>
      </w:r>
      <w:r>
        <w:rPr>
          <w:rFonts w:ascii="Calibri" w:eastAsia="Times New Roman" w:hAnsi="Calibri" w:cs="Calibri"/>
          <w:i/>
          <w:iCs/>
          <w:sz w:val="22"/>
          <w:szCs w:val="22"/>
          <w:lang w:eastAsia="pl-PL"/>
        </w:rPr>
        <w:t>m</w:t>
      </w:r>
      <w:r w:rsidRPr="00DA2E96">
        <w:rPr>
          <w:rFonts w:ascii="Calibri" w:eastAsia="Times New Roman" w:hAnsi="Calibri" w:cs="Calibri"/>
          <w:i/>
          <w:iCs/>
          <w:sz w:val="22"/>
          <w:szCs w:val="22"/>
          <w:lang w:eastAsia="pl-PL"/>
        </w:rPr>
        <w:t xml:space="preserve"> kotł</w:t>
      </w:r>
      <w:r>
        <w:rPr>
          <w:rFonts w:ascii="Calibri" w:eastAsia="Times New Roman" w:hAnsi="Calibri" w:cs="Calibri"/>
          <w:i/>
          <w:iCs/>
          <w:sz w:val="22"/>
          <w:szCs w:val="22"/>
          <w:lang w:eastAsia="pl-PL"/>
        </w:rPr>
        <w:t>em</w:t>
      </w:r>
      <w:r w:rsidRPr="00DA2E96">
        <w:rPr>
          <w:rFonts w:ascii="Calibri" w:eastAsia="Times New Roman" w:hAnsi="Calibri" w:cs="Calibri"/>
          <w:i/>
          <w:iCs/>
          <w:sz w:val="22"/>
          <w:szCs w:val="22"/>
          <w:lang w:eastAsia="pl-PL"/>
        </w:rPr>
        <w:t xml:space="preserve"> kondensacyjny</w:t>
      </w:r>
      <w:r>
        <w:rPr>
          <w:rFonts w:ascii="Calibri" w:eastAsia="Times New Roman" w:hAnsi="Calibri" w:cs="Calibri"/>
          <w:i/>
          <w:iCs/>
          <w:sz w:val="22"/>
          <w:szCs w:val="22"/>
          <w:lang w:eastAsia="pl-PL"/>
        </w:rPr>
        <w:t xml:space="preserve">m </w:t>
      </w:r>
      <w:r w:rsidRPr="00DA2E96">
        <w:rPr>
          <w:rFonts w:ascii="Calibri" w:eastAsia="Times New Roman" w:hAnsi="Calibri" w:cs="Calibri"/>
          <w:i/>
          <w:iCs/>
          <w:sz w:val="22"/>
          <w:szCs w:val="22"/>
          <w:lang w:eastAsia="pl-PL"/>
        </w:rPr>
        <w:t xml:space="preserve">sięgają </w:t>
      </w:r>
      <w:r>
        <w:rPr>
          <w:rFonts w:ascii="Calibri" w:eastAsia="Times New Roman" w:hAnsi="Calibri" w:cs="Calibri"/>
          <w:i/>
          <w:iCs/>
          <w:sz w:val="22"/>
          <w:szCs w:val="22"/>
          <w:lang w:eastAsia="pl-PL"/>
        </w:rPr>
        <w:t xml:space="preserve">teraz, po zmianie cen energii elektrycznej i gazu ziemnego, </w:t>
      </w:r>
      <w:r w:rsidRPr="0062539D">
        <w:rPr>
          <w:rFonts w:ascii="Calibri" w:eastAsia="Times New Roman" w:hAnsi="Calibri" w:cs="Calibri"/>
          <w:b/>
          <w:bCs/>
          <w:i/>
          <w:iCs/>
          <w:sz w:val="22"/>
          <w:szCs w:val="22"/>
          <w:lang w:eastAsia="pl-PL"/>
        </w:rPr>
        <w:t>od 30% do nawet ponad 50%</w:t>
      </w:r>
      <w:r w:rsidRPr="00DA2E96">
        <w:rPr>
          <w:rFonts w:ascii="Calibri" w:eastAsia="Times New Roman" w:hAnsi="Calibri" w:cs="Calibri"/>
          <w:i/>
          <w:iCs/>
          <w:sz w:val="22"/>
          <w:szCs w:val="22"/>
          <w:lang w:eastAsia="pl-PL"/>
        </w:rPr>
        <w:t xml:space="preserve"> w przypadku ogrzewania podłogowego</w:t>
      </w:r>
      <w:r>
        <w:rPr>
          <w:rFonts w:ascii="Calibri" w:eastAsia="Times New Roman" w:hAnsi="Calibri" w:cs="Calibri"/>
          <w:i/>
          <w:iCs/>
          <w:sz w:val="22"/>
          <w:szCs w:val="22"/>
          <w:lang w:eastAsia="pl-PL"/>
        </w:rPr>
        <w:t>, które jest już standardem</w:t>
      </w:r>
      <w:r w:rsidRPr="00DA2E96">
        <w:rPr>
          <w:rFonts w:ascii="Calibri" w:eastAsia="Times New Roman" w:hAnsi="Calibri" w:cs="Calibri"/>
          <w:i/>
          <w:iCs/>
          <w:sz w:val="22"/>
          <w:szCs w:val="22"/>
          <w:lang w:eastAsia="pl-PL"/>
        </w:rPr>
        <w:t xml:space="preserve"> w nowych </w:t>
      </w:r>
      <w:r>
        <w:rPr>
          <w:rFonts w:ascii="Calibri" w:eastAsia="Times New Roman" w:hAnsi="Calibri" w:cs="Calibri"/>
          <w:i/>
          <w:iCs/>
          <w:sz w:val="22"/>
          <w:szCs w:val="22"/>
          <w:lang w:eastAsia="pl-PL"/>
        </w:rPr>
        <w:t xml:space="preserve">domach jednorodzinnych. Na zmianie cen wyraźnie skorzystały pompy ciepła – zauważa </w:t>
      </w:r>
      <w:r w:rsidRPr="00027207">
        <w:rPr>
          <w:rFonts w:ascii="Calibri" w:eastAsia="Times New Roman" w:hAnsi="Calibri" w:cs="Calibri"/>
          <w:b/>
          <w:bCs/>
          <w:i/>
          <w:iCs/>
          <w:sz w:val="22"/>
          <w:szCs w:val="22"/>
          <w:lang w:eastAsia="pl-PL"/>
        </w:rPr>
        <w:t>Paweł Lachman, prezes PORT PC</w:t>
      </w:r>
      <w:r>
        <w:rPr>
          <w:rFonts w:ascii="Calibri" w:eastAsia="Times New Roman" w:hAnsi="Calibri" w:cs="Calibri"/>
          <w:i/>
          <w:iCs/>
          <w:sz w:val="22"/>
          <w:szCs w:val="22"/>
          <w:lang w:eastAsia="pl-PL"/>
        </w:rPr>
        <w:t>.</w:t>
      </w:r>
    </w:p>
    <w:p w14:paraId="1D3EDAD8" w14:textId="61117071" w:rsidR="0062539D" w:rsidRPr="00DA2E96" w:rsidRDefault="0062539D" w:rsidP="00B300B6">
      <w:pPr>
        <w:pStyle w:val="Default"/>
        <w:spacing w:after="100" w:afterAutospacing="1"/>
        <w:rPr>
          <w:rFonts w:asciiTheme="minorHAnsi" w:hAnsiTheme="minorHAnsi" w:cstheme="minorHAnsi"/>
          <w:color w:val="auto"/>
          <w:sz w:val="22"/>
          <w:szCs w:val="22"/>
        </w:rPr>
      </w:pPr>
      <w:r w:rsidRPr="00DA2E96">
        <w:rPr>
          <w:rFonts w:ascii="Calibri" w:eastAsia="Times New Roman" w:hAnsi="Calibri" w:cs="Calibri"/>
          <w:sz w:val="22"/>
          <w:szCs w:val="22"/>
          <w:lang w:eastAsia="pl-PL"/>
        </w:rPr>
        <w:t xml:space="preserve">W przypadku </w:t>
      </w:r>
      <w:r>
        <w:rPr>
          <w:rFonts w:ascii="Calibri" w:eastAsia="Times New Roman" w:hAnsi="Calibri" w:cs="Calibri"/>
          <w:sz w:val="22"/>
          <w:szCs w:val="22"/>
          <w:lang w:eastAsia="pl-PL"/>
        </w:rPr>
        <w:t>gruntowych</w:t>
      </w:r>
      <w:r w:rsidRPr="00DA2E96">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 xml:space="preserve">pomp ciepła </w:t>
      </w:r>
      <w:r w:rsidRPr="00DA2E96">
        <w:rPr>
          <w:rFonts w:ascii="Calibri" w:eastAsia="Times New Roman" w:hAnsi="Calibri" w:cs="Calibri"/>
          <w:sz w:val="22"/>
          <w:szCs w:val="22"/>
          <w:lang w:eastAsia="pl-PL"/>
        </w:rPr>
        <w:t xml:space="preserve">roczny koszt ogrzania 150-metrowego domu (przyzwoicie docieplonego, w standardzie Warunków Technicznych 2017) wyniesie </w:t>
      </w:r>
      <w:r>
        <w:rPr>
          <w:rFonts w:ascii="Calibri" w:eastAsia="Times New Roman" w:hAnsi="Calibri" w:cs="Calibri"/>
          <w:sz w:val="22"/>
          <w:szCs w:val="22"/>
          <w:lang w:eastAsia="pl-PL"/>
        </w:rPr>
        <w:t xml:space="preserve">w III kwartale 2024 r. </w:t>
      </w:r>
      <w:r w:rsidRPr="00027207">
        <w:rPr>
          <w:rFonts w:ascii="Calibri" w:eastAsia="Times New Roman" w:hAnsi="Calibri" w:cs="Calibri"/>
          <w:b/>
          <w:bCs/>
          <w:sz w:val="22"/>
          <w:szCs w:val="22"/>
          <w:lang w:eastAsia="pl-PL"/>
        </w:rPr>
        <w:t>od około 3400 zł</w:t>
      </w:r>
      <w:r>
        <w:rPr>
          <w:rFonts w:ascii="Calibri" w:eastAsia="Times New Roman" w:hAnsi="Calibri" w:cs="Calibri"/>
          <w:sz w:val="22"/>
          <w:szCs w:val="22"/>
          <w:lang w:eastAsia="pl-PL"/>
        </w:rPr>
        <w:t xml:space="preserve"> dla instalacji ogrzewania podłogowego </w:t>
      </w:r>
      <w:r w:rsidRPr="00027207">
        <w:rPr>
          <w:rFonts w:ascii="Calibri" w:eastAsia="Times New Roman" w:hAnsi="Calibri" w:cs="Calibri"/>
          <w:b/>
          <w:bCs/>
          <w:sz w:val="22"/>
          <w:szCs w:val="22"/>
          <w:lang w:eastAsia="pl-PL"/>
        </w:rPr>
        <w:t>do 42</w:t>
      </w:r>
      <w:r w:rsidR="007952A2">
        <w:rPr>
          <w:rFonts w:ascii="Calibri" w:eastAsia="Times New Roman" w:hAnsi="Calibri" w:cs="Calibri"/>
          <w:b/>
          <w:bCs/>
          <w:sz w:val="22"/>
          <w:szCs w:val="22"/>
          <w:lang w:eastAsia="pl-PL"/>
        </w:rPr>
        <w:t>00</w:t>
      </w:r>
      <w:r w:rsidRPr="00027207">
        <w:rPr>
          <w:rFonts w:ascii="Calibri" w:eastAsia="Times New Roman" w:hAnsi="Calibri" w:cs="Calibri"/>
          <w:b/>
          <w:bCs/>
          <w:sz w:val="22"/>
          <w:szCs w:val="22"/>
          <w:lang w:eastAsia="pl-PL"/>
        </w:rPr>
        <w:t xml:space="preserve"> zł</w:t>
      </w:r>
      <w:r>
        <w:rPr>
          <w:rFonts w:ascii="Calibri" w:eastAsia="Times New Roman" w:hAnsi="Calibri" w:cs="Calibri"/>
          <w:sz w:val="22"/>
          <w:szCs w:val="22"/>
          <w:lang w:eastAsia="pl-PL"/>
        </w:rPr>
        <w:t xml:space="preserve"> dla instalacji grzejnikowych</w:t>
      </w:r>
      <w:r w:rsidRPr="00DA2E96">
        <w:rPr>
          <w:rFonts w:ascii="Calibri" w:eastAsia="Times New Roman" w:hAnsi="Calibri" w:cs="Calibri"/>
          <w:sz w:val="22"/>
          <w:szCs w:val="22"/>
          <w:lang w:eastAsia="pl-PL"/>
        </w:rPr>
        <w:t xml:space="preserve">. Koszt ogrzania </w:t>
      </w:r>
      <w:r>
        <w:rPr>
          <w:rFonts w:ascii="Calibri" w:eastAsia="Times New Roman" w:hAnsi="Calibri" w:cs="Calibri"/>
          <w:sz w:val="22"/>
          <w:szCs w:val="22"/>
          <w:lang w:eastAsia="pl-PL"/>
        </w:rPr>
        <w:t>takiego domu</w:t>
      </w:r>
      <w:r w:rsidRPr="00DA2E96">
        <w:rPr>
          <w:rFonts w:ascii="Calibri" w:eastAsia="Times New Roman" w:hAnsi="Calibri" w:cs="Calibri"/>
          <w:sz w:val="22"/>
          <w:szCs w:val="22"/>
          <w:lang w:eastAsia="pl-PL"/>
        </w:rPr>
        <w:t xml:space="preserve"> pompą ciepła </w:t>
      </w:r>
      <w:r>
        <w:rPr>
          <w:rFonts w:ascii="Calibri" w:eastAsia="Times New Roman" w:hAnsi="Calibri" w:cs="Calibri"/>
          <w:sz w:val="22"/>
          <w:szCs w:val="22"/>
          <w:lang w:eastAsia="pl-PL"/>
        </w:rPr>
        <w:t>typu powietrze-woda, bez</w:t>
      </w:r>
      <w:r w:rsidRPr="00DA2E96">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 xml:space="preserve">uwzględnienia </w:t>
      </w:r>
      <w:r w:rsidRPr="00DA2E96">
        <w:rPr>
          <w:rFonts w:ascii="Calibri" w:eastAsia="Times New Roman" w:hAnsi="Calibri" w:cs="Calibri"/>
          <w:sz w:val="22"/>
          <w:szCs w:val="22"/>
          <w:lang w:eastAsia="pl-PL"/>
        </w:rPr>
        <w:t xml:space="preserve">instalacji </w:t>
      </w:r>
      <w:r>
        <w:rPr>
          <w:rFonts w:ascii="Calibri" w:eastAsia="Times New Roman" w:hAnsi="Calibri" w:cs="Calibri"/>
          <w:sz w:val="22"/>
          <w:szCs w:val="22"/>
          <w:lang w:eastAsia="pl-PL"/>
        </w:rPr>
        <w:t>fotowoltaicznej,</w:t>
      </w:r>
      <w:r w:rsidRPr="00DA2E96">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 xml:space="preserve">powinien mieścić się w przedziale </w:t>
      </w:r>
      <w:r w:rsidRPr="00027207">
        <w:rPr>
          <w:rFonts w:ascii="Calibri" w:eastAsia="Times New Roman" w:hAnsi="Calibri" w:cs="Calibri"/>
          <w:b/>
          <w:bCs/>
          <w:sz w:val="22"/>
          <w:szCs w:val="22"/>
          <w:lang w:eastAsia="pl-PL"/>
        </w:rPr>
        <w:t>od 4 do 5 tys. zł rocznie</w:t>
      </w:r>
      <w:r w:rsidRPr="00DA2E96">
        <w:rPr>
          <w:rFonts w:ascii="Calibri" w:eastAsia="Times New Roman" w:hAnsi="Calibri" w:cs="Calibri"/>
          <w:sz w:val="22"/>
          <w:szCs w:val="22"/>
          <w:lang w:eastAsia="pl-PL"/>
        </w:rPr>
        <w:t>. </w:t>
      </w:r>
      <w:r>
        <w:rPr>
          <w:rFonts w:ascii="Calibri" w:eastAsia="Times New Roman" w:hAnsi="Calibri" w:cs="Calibri"/>
          <w:sz w:val="22"/>
          <w:szCs w:val="22"/>
          <w:lang w:eastAsia="pl-PL"/>
        </w:rPr>
        <w:t xml:space="preserve">Na nieco wyższym poziomie będą kształtować się roczne koszty ogrzewania kotłem na </w:t>
      </w:r>
      <w:r w:rsidR="00027207">
        <w:rPr>
          <w:rFonts w:ascii="Calibri" w:eastAsia="Times New Roman" w:hAnsi="Calibri" w:cs="Calibri"/>
          <w:sz w:val="22"/>
          <w:szCs w:val="22"/>
          <w:lang w:eastAsia="pl-PL"/>
        </w:rPr>
        <w:t>granulat drzewny (</w:t>
      </w:r>
      <w:proofErr w:type="spellStart"/>
      <w:r>
        <w:rPr>
          <w:rFonts w:ascii="Calibri" w:eastAsia="Times New Roman" w:hAnsi="Calibri" w:cs="Calibri"/>
          <w:sz w:val="22"/>
          <w:szCs w:val="22"/>
          <w:lang w:eastAsia="pl-PL"/>
        </w:rPr>
        <w:t>pel</w:t>
      </w:r>
      <w:r w:rsidR="007952A2">
        <w:rPr>
          <w:rFonts w:ascii="Calibri" w:eastAsia="Times New Roman" w:hAnsi="Calibri" w:cs="Calibri"/>
          <w:sz w:val="22"/>
          <w:szCs w:val="22"/>
          <w:lang w:eastAsia="pl-PL"/>
        </w:rPr>
        <w:t>l</w:t>
      </w:r>
      <w:r>
        <w:rPr>
          <w:rFonts w:ascii="Calibri" w:eastAsia="Times New Roman" w:hAnsi="Calibri" w:cs="Calibri"/>
          <w:sz w:val="22"/>
          <w:szCs w:val="22"/>
          <w:lang w:eastAsia="pl-PL"/>
        </w:rPr>
        <w:t>et</w:t>
      </w:r>
      <w:proofErr w:type="spellEnd"/>
      <w:r w:rsidR="00027207">
        <w:rPr>
          <w:rFonts w:ascii="Calibri" w:eastAsia="Times New Roman" w:hAnsi="Calibri" w:cs="Calibri"/>
          <w:sz w:val="22"/>
          <w:szCs w:val="22"/>
          <w:lang w:eastAsia="pl-PL"/>
        </w:rPr>
        <w:t>)</w:t>
      </w:r>
      <w:r>
        <w:rPr>
          <w:rFonts w:ascii="Calibri" w:eastAsia="Times New Roman" w:hAnsi="Calibri" w:cs="Calibri"/>
          <w:sz w:val="22"/>
          <w:szCs w:val="22"/>
          <w:lang w:eastAsia="pl-PL"/>
        </w:rPr>
        <w:t xml:space="preserve">, sięgając </w:t>
      </w:r>
      <w:r w:rsidR="00417B73">
        <w:rPr>
          <w:rFonts w:ascii="Calibri" w:eastAsia="Times New Roman" w:hAnsi="Calibri" w:cs="Calibri"/>
          <w:sz w:val="22"/>
          <w:szCs w:val="22"/>
          <w:lang w:eastAsia="pl-PL"/>
        </w:rPr>
        <w:t>ok.</w:t>
      </w:r>
      <w:r>
        <w:rPr>
          <w:rFonts w:ascii="Calibri" w:eastAsia="Times New Roman" w:hAnsi="Calibri" w:cs="Calibri"/>
          <w:sz w:val="22"/>
          <w:szCs w:val="22"/>
          <w:lang w:eastAsia="pl-PL"/>
        </w:rPr>
        <w:t xml:space="preserve"> 5</w:t>
      </w:r>
      <w:r w:rsidR="00417B73">
        <w:rPr>
          <w:rFonts w:ascii="Calibri" w:eastAsia="Times New Roman" w:hAnsi="Calibri" w:cs="Calibri"/>
          <w:sz w:val="22"/>
          <w:szCs w:val="22"/>
          <w:lang w:eastAsia="pl-PL"/>
        </w:rPr>
        <w:t>,5</w:t>
      </w:r>
      <w:r>
        <w:rPr>
          <w:rFonts w:ascii="Calibri" w:eastAsia="Times New Roman" w:hAnsi="Calibri" w:cs="Calibri"/>
          <w:sz w:val="22"/>
          <w:szCs w:val="22"/>
          <w:lang w:eastAsia="pl-PL"/>
        </w:rPr>
        <w:t xml:space="preserve"> tys. zł. U</w:t>
      </w:r>
      <w:r w:rsidRPr="00DA2E96">
        <w:rPr>
          <w:rFonts w:ascii="Calibri" w:eastAsia="Times New Roman" w:hAnsi="Calibri" w:cs="Calibri"/>
          <w:sz w:val="22"/>
          <w:szCs w:val="22"/>
          <w:lang w:eastAsia="pl-PL"/>
        </w:rPr>
        <w:t xml:space="preserve">żytkownicy kotłów „kopciuchów” na węgiel </w:t>
      </w:r>
      <w:r>
        <w:rPr>
          <w:rFonts w:ascii="Calibri" w:eastAsia="Times New Roman" w:hAnsi="Calibri" w:cs="Calibri"/>
          <w:sz w:val="22"/>
          <w:szCs w:val="22"/>
          <w:lang w:eastAsia="pl-PL"/>
        </w:rPr>
        <w:t xml:space="preserve">zapłacą </w:t>
      </w:r>
      <w:r w:rsidR="00027207">
        <w:rPr>
          <w:rFonts w:ascii="Calibri" w:eastAsia="Times New Roman" w:hAnsi="Calibri" w:cs="Calibri"/>
          <w:sz w:val="22"/>
          <w:szCs w:val="22"/>
          <w:lang w:eastAsia="pl-PL"/>
        </w:rPr>
        <w:t xml:space="preserve">za ogrzewanie </w:t>
      </w:r>
      <w:r w:rsidRPr="00DA2E96">
        <w:rPr>
          <w:rFonts w:ascii="Calibri" w:eastAsia="Times New Roman" w:hAnsi="Calibri" w:cs="Calibri"/>
          <w:sz w:val="22"/>
          <w:szCs w:val="22"/>
          <w:lang w:eastAsia="pl-PL"/>
        </w:rPr>
        <w:t>blisko 5 tys</w:t>
      </w:r>
      <w:r>
        <w:rPr>
          <w:rFonts w:ascii="Calibri" w:eastAsia="Times New Roman" w:hAnsi="Calibri" w:cs="Calibri"/>
          <w:sz w:val="22"/>
          <w:szCs w:val="22"/>
          <w:lang w:eastAsia="pl-PL"/>
        </w:rPr>
        <w:t>.</w:t>
      </w:r>
      <w:r w:rsidRPr="00DA2E96">
        <w:rPr>
          <w:rFonts w:ascii="Calibri" w:eastAsia="Times New Roman" w:hAnsi="Calibri" w:cs="Calibri"/>
          <w:sz w:val="22"/>
          <w:szCs w:val="22"/>
          <w:lang w:eastAsia="pl-PL"/>
        </w:rPr>
        <w:t xml:space="preserve"> zł</w:t>
      </w:r>
      <w:r>
        <w:rPr>
          <w:rFonts w:ascii="Calibri" w:eastAsia="Times New Roman" w:hAnsi="Calibri" w:cs="Calibri"/>
          <w:sz w:val="22"/>
          <w:szCs w:val="22"/>
          <w:lang w:eastAsia="pl-PL"/>
        </w:rPr>
        <w:t>.</w:t>
      </w:r>
      <w:r w:rsidRPr="00DA2E96">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Natomiast</w:t>
      </w:r>
      <w:r w:rsidRPr="00DA2E96">
        <w:rPr>
          <w:rFonts w:ascii="Calibri" w:eastAsia="Times New Roman" w:hAnsi="Calibri" w:cs="Calibri"/>
          <w:sz w:val="22"/>
          <w:szCs w:val="22"/>
          <w:lang w:eastAsia="pl-PL"/>
        </w:rPr>
        <w:t xml:space="preserve"> użytkownicy </w:t>
      </w:r>
      <w:r w:rsidR="00417B73">
        <w:rPr>
          <w:rFonts w:ascii="Calibri" w:eastAsia="Times New Roman" w:hAnsi="Calibri" w:cs="Calibri"/>
          <w:sz w:val="22"/>
          <w:szCs w:val="22"/>
          <w:lang w:eastAsia="pl-PL"/>
        </w:rPr>
        <w:t xml:space="preserve">kondensacyjnych </w:t>
      </w:r>
      <w:r w:rsidRPr="00DA2E96">
        <w:rPr>
          <w:rFonts w:ascii="Calibri" w:eastAsia="Times New Roman" w:hAnsi="Calibri" w:cs="Calibri"/>
          <w:sz w:val="22"/>
          <w:szCs w:val="22"/>
          <w:lang w:eastAsia="pl-PL"/>
        </w:rPr>
        <w:t xml:space="preserve">kotłów </w:t>
      </w:r>
      <w:r>
        <w:rPr>
          <w:rFonts w:ascii="Calibri" w:eastAsia="Times New Roman" w:hAnsi="Calibri" w:cs="Calibri"/>
          <w:sz w:val="22"/>
          <w:szCs w:val="22"/>
          <w:lang w:eastAsia="pl-PL"/>
        </w:rPr>
        <w:t>na gaz ziemny</w:t>
      </w:r>
      <w:r w:rsidRPr="00DA2E96">
        <w:rPr>
          <w:rFonts w:ascii="Calibri" w:eastAsia="Times New Roman" w:hAnsi="Calibri" w:cs="Calibri"/>
          <w:sz w:val="22"/>
          <w:szCs w:val="22"/>
          <w:lang w:eastAsia="pl-PL"/>
        </w:rPr>
        <w:t xml:space="preserve"> </w:t>
      </w:r>
      <w:r w:rsidR="00027207">
        <w:rPr>
          <w:rFonts w:ascii="Calibri" w:eastAsia="Times New Roman" w:hAnsi="Calibri" w:cs="Calibri"/>
          <w:sz w:val="22"/>
          <w:szCs w:val="22"/>
          <w:lang w:eastAsia="pl-PL"/>
        </w:rPr>
        <w:t>wydadzą na ten cel</w:t>
      </w:r>
      <w:r>
        <w:rPr>
          <w:rFonts w:ascii="Calibri" w:eastAsia="Times New Roman" w:hAnsi="Calibri" w:cs="Calibri"/>
          <w:sz w:val="22"/>
          <w:szCs w:val="22"/>
          <w:lang w:eastAsia="pl-PL"/>
        </w:rPr>
        <w:t xml:space="preserve"> </w:t>
      </w:r>
      <w:r w:rsidRPr="00DA2E96">
        <w:rPr>
          <w:rFonts w:ascii="Calibri" w:eastAsia="Times New Roman" w:hAnsi="Calibri" w:cs="Calibri"/>
          <w:sz w:val="22"/>
          <w:szCs w:val="22"/>
          <w:lang w:eastAsia="pl-PL"/>
        </w:rPr>
        <w:t>około 7 tys</w:t>
      </w:r>
      <w:r>
        <w:rPr>
          <w:rFonts w:ascii="Calibri" w:eastAsia="Times New Roman" w:hAnsi="Calibri" w:cs="Calibri"/>
          <w:sz w:val="22"/>
          <w:szCs w:val="22"/>
          <w:lang w:eastAsia="pl-PL"/>
        </w:rPr>
        <w:t>. zł</w:t>
      </w:r>
      <w:r w:rsidRPr="00DA2E96">
        <w:rPr>
          <w:rFonts w:ascii="Calibri" w:eastAsia="Times New Roman" w:hAnsi="Calibri" w:cs="Calibri"/>
          <w:sz w:val="22"/>
          <w:szCs w:val="22"/>
          <w:lang w:eastAsia="pl-PL"/>
        </w:rPr>
        <w:t xml:space="preserve"> rocznie. </w:t>
      </w:r>
    </w:p>
    <w:p w14:paraId="49A46858" w14:textId="27026C69" w:rsidR="00B300B6" w:rsidRDefault="0062539D" w:rsidP="00B300B6">
      <w:pPr>
        <w:spacing w:after="100" w:afterAutospacing="1" w:line="240" w:lineRule="auto"/>
        <w:rPr>
          <w:rFonts w:ascii="Calibri" w:eastAsia="Times New Roman" w:hAnsi="Calibri" w:cs="Calibri"/>
          <w:i/>
          <w:iCs/>
          <w:color w:val="000000"/>
          <w:lang w:eastAsia="pl-PL"/>
        </w:rPr>
      </w:pPr>
      <w:r w:rsidRPr="00B300B6">
        <w:rPr>
          <w:rFonts w:ascii="Calibri" w:eastAsia="Times New Roman" w:hAnsi="Calibri" w:cs="Calibri"/>
          <w:color w:val="000000"/>
          <w:lang w:eastAsia="pl-PL"/>
        </w:rPr>
        <w:t>Jak podkreśla Paweł Lachman</w:t>
      </w:r>
      <w:r>
        <w:rPr>
          <w:rFonts w:ascii="Calibri" w:eastAsia="Times New Roman" w:hAnsi="Calibri" w:cs="Calibri"/>
          <w:i/>
          <w:iCs/>
          <w:color w:val="000000"/>
          <w:lang w:eastAsia="pl-PL"/>
        </w:rPr>
        <w:t xml:space="preserve"> − Obecnie w</w:t>
      </w:r>
      <w:r w:rsidRPr="00DA2E96">
        <w:rPr>
          <w:rFonts w:ascii="Calibri" w:eastAsia="Times New Roman" w:hAnsi="Calibri" w:cs="Calibri"/>
          <w:i/>
          <w:iCs/>
          <w:color w:val="000000"/>
          <w:lang w:eastAsia="pl-PL"/>
        </w:rPr>
        <w:t xml:space="preserve">iele budynków w Polsce </w:t>
      </w:r>
      <w:r>
        <w:rPr>
          <w:rFonts w:ascii="Calibri" w:eastAsia="Times New Roman" w:hAnsi="Calibri" w:cs="Calibri"/>
          <w:i/>
          <w:iCs/>
          <w:color w:val="000000"/>
          <w:lang w:eastAsia="pl-PL"/>
        </w:rPr>
        <w:t>ma, niestety,</w:t>
      </w:r>
      <w:r w:rsidRPr="00DA2E96">
        <w:rPr>
          <w:rFonts w:ascii="Calibri" w:eastAsia="Times New Roman" w:hAnsi="Calibri" w:cs="Calibri"/>
          <w:i/>
          <w:iCs/>
          <w:color w:val="000000"/>
          <w:lang w:eastAsia="pl-PL"/>
        </w:rPr>
        <w:t xml:space="preserve"> dużo gorszy standard energetyczny niż ten</w:t>
      </w:r>
      <w:r>
        <w:rPr>
          <w:rFonts w:ascii="Calibri" w:eastAsia="Times New Roman" w:hAnsi="Calibri" w:cs="Calibri"/>
          <w:i/>
          <w:iCs/>
          <w:color w:val="000000"/>
          <w:lang w:eastAsia="pl-PL"/>
        </w:rPr>
        <w:t>,</w:t>
      </w:r>
      <w:r w:rsidRPr="00DA2E96">
        <w:rPr>
          <w:rFonts w:ascii="Calibri" w:eastAsia="Times New Roman" w:hAnsi="Calibri" w:cs="Calibri"/>
          <w:i/>
          <w:iCs/>
          <w:color w:val="000000"/>
          <w:lang w:eastAsia="pl-PL"/>
        </w:rPr>
        <w:t xml:space="preserve"> który przyjęliśmy do obliczeń</w:t>
      </w:r>
      <w:r>
        <w:rPr>
          <w:rFonts w:ascii="Calibri" w:eastAsia="Times New Roman" w:hAnsi="Calibri" w:cs="Calibri"/>
          <w:i/>
          <w:iCs/>
          <w:color w:val="000000"/>
          <w:lang w:eastAsia="pl-PL"/>
        </w:rPr>
        <w:t xml:space="preserve"> (WT 2017)</w:t>
      </w:r>
      <w:r w:rsidRPr="00DA2E96">
        <w:rPr>
          <w:rFonts w:ascii="Calibri" w:eastAsia="Times New Roman" w:hAnsi="Calibri" w:cs="Calibri"/>
          <w:i/>
          <w:iCs/>
          <w:color w:val="000000"/>
          <w:lang w:eastAsia="pl-PL"/>
        </w:rPr>
        <w:t xml:space="preserve">, dlatego </w:t>
      </w:r>
      <w:r>
        <w:rPr>
          <w:rFonts w:ascii="Calibri" w:eastAsia="Times New Roman" w:hAnsi="Calibri" w:cs="Calibri"/>
          <w:i/>
          <w:iCs/>
          <w:color w:val="000000"/>
          <w:lang w:eastAsia="pl-PL"/>
        </w:rPr>
        <w:t xml:space="preserve">ważne jest, aby </w:t>
      </w:r>
      <w:r w:rsidRPr="00DA2E96">
        <w:rPr>
          <w:rFonts w:ascii="Calibri" w:eastAsia="Times New Roman" w:hAnsi="Calibri" w:cs="Calibri"/>
          <w:i/>
          <w:iCs/>
          <w:color w:val="000000"/>
          <w:lang w:eastAsia="pl-PL"/>
        </w:rPr>
        <w:t>wraz z wymianą źródła ciepł</w:t>
      </w:r>
      <w:r>
        <w:rPr>
          <w:rFonts w:ascii="Calibri" w:eastAsia="Times New Roman" w:hAnsi="Calibri" w:cs="Calibri"/>
          <w:i/>
          <w:iCs/>
          <w:color w:val="000000"/>
          <w:lang w:eastAsia="pl-PL"/>
        </w:rPr>
        <w:t>a</w:t>
      </w:r>
      <w:r w:rsidRPr="00DA2E96">
        <w:rPr>
          <w:rFonts w:ascii="Calibri" w:eastAsia="Times New Roman" w:hAnsi="Calibri" w:cs="Calibri"/>
          <w:i/>
          <w:iCs/>
          <w:color w:val="000000"/>
          <w:lang w:eastAsia="pl-PL"/>
        </w:rPr>
        <w:t xml:space="preserve"> </w:t>
      </w:r>
      <w:r w:rsidR="00417B73">
        <w:rPr>
          <w:rFonts w:ascii="Calibri" w:eastAsia="Times New Roman" w:hAnsi="Calibri" w:cs="Calibri"/>
          <w:i/>
          <w:iCs/>
          <w:color w:val="000000"/>
          <w:lang w:eastAsia="pl-PL"/>
        </w:rPr>
        <w:t>dobrze rozważyć wykonanie</w:t>
      </w:r>
      <w:r w:rsidRPr="00DA2E96">
        <w:rPr>
          <w:rFonts w:ascii="Calibri" w:eastAsia="Times New Roman" w:hAnsi="Calibri" w:cs="Calibri"/>
          <w:i/>
          <w:iCs/>
          <w:color w:val="000000"/>
          <w:lang w:eastAsia="pl-PL"/>
        </w:rPr>
        <w:t xml:space="preserve"> </w:t>
      </w:r>
      <w:r>
        <w:rPr>
          <w:rFonts w:ascii="Calibri" w:eastAsia="Times New Roman" w:hAnsi="Calibri" w:cs="Calibri"/>
          <w:i/>
          <w:iCs/>
          <w:color w:val="000000"/>
          <w:lang w:eastAsia="pl-PL"/>
        </w:rPr>
        <w:t xml:space="preserve">ich optymalnej </w:t>
      </w:r>
      <w:r w:rsidRPr="00DA2E96">
        <w:rPr>
          <w:rFonts w:ascii="Calibri" w:eastAsia="Times New Roman" w:hAnsi="Calibri" w:cs="Calibri"/>
          <w:i/>
          <w:iCs/>
          <w:color w:val="000000"/>
          <w:lang w:eastAsia="pl-PL"/>
        </w:rPr>
        <w:t>termomodernizacji</w:t>
      </w:r>
      <w:r>
        <w:rPr>
          <w:rFonts w:ascii="Calibri" w:eastAsia="Times New Roman" w:hAnsi="Calibri" w:cs="Calibri"/>
          <w:i/>
          <w:iCs/>
          <w:color w:val="000000"/>
          <w:lang w:eastAsia="pl-PL"/>
        </w:rPr>
        <w:t>. Takiej</w:t>
      </w:r>
      <w:r w:rsidRPr="00DA2E96">
        <w:rPr>
          <w:rFonts w:ascii="Calibri" w:eastAsia="Times New Roman" w:hAnsi="Calibri" w:cs="Calibri"/>
          <w:i/>
          <w:iCs/>
          <w:color w:val="000000"/>
          <w:lang w:eastAsia="pl-PL"/>
        </w:rPr>
        <w:t>, która zmniejszy straty ciepła i ochroni</w:t>
      </w:r>
      <w:r>
        <w:rPr>
          <w:rFonts w:ascii="Calibri" w:eastAsia="Times New Roman" w:hAnsi="Calibri" w:cs="Calibri"/>
          <w:i/>
          <w:iCs/>
          <w:color w:val="000000"/>
          <w:lang w:eastAsia="pl-PL"/>
        </w:rPr>
        <w:t xml:space="preserve"> właścicieli budynków</w:t>
      </w:r>
      <w:r w:rsidRPr="00DA2E96">
        <w:rPr>
          <w:rFonts w:ascii="Calibri" w:eastAsia="Times New Roman" w:hAnsi="Calibri" w:cs="Calibri"/>
          <w:i/>
          <w:iCs/>
          <w:color w:val="000000"/>
          <w:lang w:eastAsia="pl-PL"/>
        </w:rPr>
        <w:t xml:space="preserve"> przed wysokimi kosztami ogrzewania</w:t>
      </w:r>
      <w:r>
        <w:rPr>
          <w:rFonts w:ascii="Calibri" w:eastAsia="Times New Roman" w:hAnsi="Calibri" w:cs="Calibri"/>
          <w:i/>
          <w:iCs/>
          <w:color w:val="000000"/>
          <w:lang w:eastAsia="pl-PL"/>
        </w:rPr>
        <w:t>.</w:t>
      </w:r>
      <w:r w:rsidRPr="00DA2E96">
        <w:rPr>
          <w:rFonts w:ascii="Calibri" w:eastAsia="Times New Roman" w:hAnsi="Calibri" w:cs="Calibri"/>
          <w:i/>
          <w:iCs/>
          <w:color w:val="000000"/>
          <w:lang w:eastAsia="pl-PL"/>
        </w:rPr>
        <w:t xml:space="preserve"> </w:t>
      </w:r>
      <w:r>
        <w:rPr>
          <w:rFonts w:ascii="Calibri" w:eastAsia="Times New Roman" w:hAnsi="Calibri" w:cs="Calibri"/>
          <w:i/>
          <w:iCs/>
          <w:color w:val="000000"/>
          <w:lang w:eastAsia="pl-PL"/>
        </w:rPr>
        <w:t>N</w:t>
      </w:r>
      <w:r w:rsidRPr="00DA2E96">
        <w:rPr>
          <w:rFonts w:ascii="Calibri" w:eastAsia="Times New Roman" w:hAnsi="Calibri" w:cs="Calibri"/>
          <w:i/>
          <w:iCs/>
          <w:color w:val="000000"/>
          <w:lang w:eastAsia="pl-PL"/>
        </w:rPr>
        <w:t xml:space="preserve">a </w:t>
      </w:r>
      <w:r w:rsidR="00027207">
        <w:rPr>
          <w:rFonts w:ascii="Calibri" w:eastAsia="Times New Roman" w:hAnsi="Calibri" w:cs="Calibri"/>
          <w:i/>
          <w:iCs/>
          <w:color w:val="000000"/>
          <w:lang w:eastAsia="pl-PL"/>
        </w:rPr>
        <w:t>tego typu</w:t>
      </w:r>
      <w:r w:rsidRPr="00DA2E96">
        <w:rPr>
          <w:rFonts w:ascii="Calibri" w:eastAsia="Times New Roman" w:hAnsi="Calibri" w:cs="Calibri"/>
          <w:i/>
          <w:iCs/>
          <w:color w:val="000000"/>
          <w:lang w:eastAsia="pl-PL"/>
        </w:rPr>
        <w:t xml:space="preserve"> inwestycje można już od 2023 r</w:t>
      </w:r>
      <w:r>
        <w:rPr>
          <w:rFonts w:ascii="Calibri" w:eastAsia="Times New Roman" w:hAnsi="Calibri" w:cs="Calibri"/>
          <w:i/>
          <w:iCs/>
          <w:color w:val="000000"/>
          <w:lang w:eastAsia="pl-PL"/>
        </w:rPr>
        <w:t>.</w:t>
      </w:r>
      <w:r w:rsidRPr="00DA2E96">
        <w:rPr>
          <w:rFonts w:ascii="Calibri" w:eastAsia="Times New Roman" w:hAnsi="Calibri" w:cs="Calibri"/>
          <w:i/>
          <w:iCs/>
          <w:color w:val="000000"/>
          <w:lang w:eastAsia="pl-PL"/>
        </w:rPr>
        <w:t xml:space="preserve"> uzyskać znacznie większe środki dotacyjne w ramach programu</w:t>
      </w:r>
      <w:r>
        <w:rPr>
          <w:rFonts w:ascii="Calibri" w:eastAsia="Times New Roman" w:hAnsi="Calibri" w:cs="Calibri"/>
          <w:i/>
          <w:iCs/>
          <w:color w:val="000000"/>
          <w:lang w:eastAsia="pl-PL"/>
        </w:rPr>
        <w:t>”</w:t>
      </w:r>
      <w:r w:rsidRPr="00DA2E96">
        <w:rPr>
          <w:rFonts w:ascii="Calibri" w:eastAsia="Times New Roman" w:hAnsi="Calibri" w:cs="Calibri"/>
          <w:i/>
          <w:iCs/>
          <w:color w:val="000000"/>
          <w:lang w:eastAsia="pl-PL"/>
        </w:rPr>
        <w:t xml:space="preserve"> Czyste Powietrze</w:t>
      </w:r>
      <w:r>
        <w:rPr>
          <w:rFonts w:ascii="Calibri" w:eastAsia="Times New Roman" w:hAnsi="Calibri" w:cs="Calibri"/>
          <w:i/>
          <w:iCs/>
          <w:color w:val="000000"/>
          <w:lang w:eastAsia="pl-PL"/>
        </w:rPr>
        <w:t>”</w:t>
      </w:r>
      <w:r w:rsidRPr="00DA2E96">
        <w:rPr>
          <w:rFonts w:ascii="Calibri" w:eastAsia="Times New Roman" w:hAnsi="Calibri" w:cs="Calibri"/>
          <w:i/>
          <w:iCs/>
          <w:color w:val="000000"/>
          <w:lang w:eastAsia="pl-PL"/>
        </w:rPr>
        <w:t>.</w:t>
      </w:r>
    </w:p>
    <w:p w14:paraId="73AADB05" w14:textId="554112FD" w:rsidR="00027207" w:rsidRDefault="0062539D" w:rsidP="00B300B6">
      <w:pPr>
        <w:spacing w:after="100" w:afterAutospacing="1" w:line="240" w:lineRule="auto"/>
        <w:rPr>
          <w:rFonts w:ascii="Calibri" w:eastAsia="Times New Roman" w:hAnsi="Calibri" w:cs="Calibri"/>
          <w:color w:val="000000"/>
          <w:lang w:eastAsia="pl-PL"/>
        </w:rPr>
      </w:pPr>
      <w:r w:rsidRPr="00DA2E96">
        <w:rPr>
          <w:rFonts w:ascii="Calibri" w:eastAsia="Times New Roman" w:hAnsi="Calibri" w:cs="Calibri"/>
          <w:color w:val="000000"/>
          <w:lang w:eastAsia="pl-PL"/>
        </w:rPr>
        <w:t xml:space="preserve">W </w:t>
      </w:r>
      <w:r>
        <w:rPr>
          <w:rFonts w:ascii="Calibri" w:eastAsia="Times New Roman" w:hAnsi="Calibri" w:cs="Calibri"/>
          <w:color w:val="000000"/>
          <w:lang w:eastAsia="pl-PL"/>
        </w:rPr>
        <w:t xml:space="preserve">swoich </w:t>
      </w:r>
      <w:r w:rsidRPr="00DA2E96">
        <w:rPr>
          <w:rFonts w:ascii="Calibri" w:eastAsia="Times New Roman" w:hAnsi="Calibri" w:cs="Calibri"/>
          <w:color w:val="000000"/>
          <w:lang w:eastAsia="pl-PL"/>
        </w:rPr>
        <w:t>obliczeniach PORT</w:t>
      </w:r>
      <w:r>
        <w:rPr>
          <w:rFonts w:ascii="Calibri" w:eastAsia="Times New Roman" w:hAnsi="Calibri" w:cs="Calibri"/>
          <w:color w:val="000000"/>
          <w:lang w:eastAsia="pl-PL"/>
        </w:rPr>
        <w:t xml:space="preserve"> </w:t>
      </w:r>
      <w:r w:rsidRPr="00DA2E96">
        <w:rPr>
          <w:rFonts w:ascii="Calibri" w:eastAsia="Times New Roman" w:hAnsi="Calibri" w:cs="Calibri"/>
          <w:color w:val="000000"/>
          <w:lang w:eastAsia="pl-PL"/>
        </w:rPr>
        <w:t xml:space="preserve">PC wziął pod uwagę nowe taryfy za energię elektryczną, posługując się przykładem uśrednionych cen w taryfie </w:t>
      </w:r>
      <w:r w:rsidR="00417B73">
        <w:rPr>
          <w:rFonts w:ascii="Calibri" w:eastAsia="Times New Roman" w:hAnsi="Calibri" w:cs="Calibri"/>
          <w:color w:val="000000"/>
          <w:lang w:eastAsia="pl-PL"/>
        </w:rPr>
        <w:t xml:space="preserve">weekendowej, dwuprzedziałowej </w:t>
      </w:r>
      <w:proofErr w:type="gramStart"/>
      <w:r w:rsidRPr="00DA2E96">
        <w:rPr>
          <w:rFonts w:ascii="Calibri" w:eastAsia="Times New Roman" w:hAnsi="Calibri" w:cs="Calibri"/>
          <w:color w:val="000000"/>
          <w:lang w:eastAsia="pl-PL"/>
        </w:rPr>
        <w:t>G12w</w:t>
      </w:r>
      <w:r w:rsidR="00027207">
        <w:rPr>
          <w:rFonts w:ascii="Calibri" w:eastAsia="Times New Roman" w:hAnsi="Calibri" w:cs="Calibri"/>
          <w:color w:val="000000"/>
          <w:lang w:eastAsia="pl-PL"/>
        </w:rPr>
        <w:t>,</w:t>
      </w:r>
      <w:proofErr w:type="gramEnd"/>
      <w:r w:rsidRPr="00DA2E96">
        <w:rPr>
          <w:rFonts w:ascii="Calibri" w:eastAsia="Times New Roman" w:hAnsi="Calibri" w:cs="Calibri"/>
          <w:color w:val="000000"/>
          <w:lang w:eastAsia="pl-PL"/>
        </w:rPr>
        <w:t xml:space="preserve"> oraz nową taryfę gazową na II połowę 2024</w:t>
      </w:r>
      <w:r>
        <w:rPr>
          <w:rFonts w:ascii="Calibri" w:eastAsia="Times New Roman" w:hAnsi="Calibri" w:cs="Calibri"/>
          <w:color w:val="000000"/>
          <w:lang w:eastAsia="pl-PL"/>
        </w:rPr>
        <w:t xml:space="preserve"> r.</w:t>
      </w:r>
      <w:r w:rsidRPr="00DA2E96">
        <w:rPr>
          <w:rFonts w:ascii="Calibri" w:eastAsia="Times New Roman" w:hAnsi="Calibri" w:cs="Calibri"/>
          <w:color w:val="000000"/>
          <w:lang w:eastAsia="pl-PL"/>
        </w:rPr>
        <w:t xml:space="preserve"> zatwierdzon</w:t>
      </w:r>
      <w:r>
        <w:rPr>
          <w:rFonts w:ascii="Calibri" w:eastAsia="Times New Roman" w:hAnsi="Calibri" w:cs="Calibri"/>
          <w:color w:val="000000"/>
          <w:lang w:eastAsia="pl-PL"/>
        </w:rPr>
        <w:t>ą</w:t>
      </w:r>
      <w:r w:rsidRPr="00DA2E96">
        <w:rPr>
          <w:rFonts w:ascii="Calibri" w:eastAsia="Times New Roman" w:hAnsi="Calibri" w:cs="Calibri"/>
          <w:color w:val="000000"/>
          <w:lang w:eastAsia="pl-PL"/>
        </w:rPr>
        <w:t xml:space="preserve"> przez prezesa URE. Średni koszt węgla (granulat węglowy) przyjęto na poziomie 1300 zł za tonę, a </w:t>
      </w:r>
      <w:proofErr w:type="spellStart"/>
      <w:r w:rsidRPr="00DA2E96">
        <w:rPr>
          <w:rFonts w:ascii="Calibri" w:eastAsia="Times New Roman" w:hAnsi="Calibri" w:cs="Calibri"/>
          <w:color w:val="000000"/>
          <w:lang w:eastAsia="pl-PL"/>
        </w:rPr>
        <w:t>pel</w:t>
      </w:r>
      <w:r>
        <w:rPr>
          <w:rFonts w:ascii="Calibri" w:eastAsia="Times New Roman" w:hAnsi="Calibri" w:cs="Calibri"/>
          <w:color w:val="000000"/>
          <w:lang w:eastAsia="pl-PL"/>
        </w:rPr>
        <w:t>l</w:t>
      </w:r>
      <w:r w:rsidRPr="00DA2E96">
        <w:rPr>
          <w:rFonts w:ascii="Calibri" w:eastAsia="Times New Roman" w:hAnsi="Calibri" w:cs="Calibri"/>
          <w:color w:val="000000"/>
          <w:lang w:eastAsia="pl-PL"/>
        </w:rPr>
        <w:t>etu</w:t>
      </w:r>
      <w:proofErr w:type="spellEnd"/>
      <w:r w:rsidRPr="00DA2E96">
        <w:rPr>
          <w:rFonts w:ascii="Calibri" w:eastAsia="Times New Roman" w:hAnsi="Calibri" w:cs="Calibri"/>
          <w:color w:val="000000"/>
          <w:lang w:eastAsia="pl-PL"/>
        </w:rPr>
        <w:t xml:space="preserve"> drzewnego 1300 zł/tonę. W przypadku energii elektrycznej nie wzięto pod uwagę kosztów stałych, ponieważ instalacja elektryczna jest standardem w każdym budynku i trzeba je i tak ponosić.</w:t>
      </w:r>
    </w:p>
    <w:p w14:paraId="1F70998F" w14:textId="0041B434" w:rsidR="00027207" w:rsidRDefault="00027207" w:rsidP="00027207">
      <w:pPr>
        <w:spacing w:after="100" w:afterAutospacing="1" w:line="240" w:lineRule="auto"/>
        <w:rPr>
          <w:rFonts w:ascii="Calibri" w:eastAsia="Times New Roman" w:hAnsi="Calibri" w:cs="Calibri"/>
        </w:rPr>
      </w:pPr>
      <w:r w:rsidRPr="00711CE1">
        <w:rPr>
          <w:rFonts w:ascii="Calibri" w:eastAsia="Times New Roman" w:hAnsi="Calibri" w:cs="Calibri"/>
        </w:rPr>
        <w:t>[Źródło: PORT PC]</w:t>
      </w:r>
    </w:p>
    <w:p w14:paraId="1A32D760" w14:textId="66E740D5" w:rsidR="00027207" w:rsidRPr="00B300B6" w:rsidRDefault="00027207" w:rsidP="00027207">
      <w:pPr>
        <w:spacing w:after="100" w:afterAutospacing="1" w:line="240" w:lineRule="auto"/>
        <w:rPr>
          <w:rFonts w:ascii="Calibri" w:eastAsia="Times New Roman" w:hAnsi="Calibri" w:cs="Calibri"/>
          <w:u w:val="single"/>
        </w:rPr>
      </w:pPr>
      <w:r w:rsidRPr="00711CE1">
        <w:rPr>
          <w:rFonts w:ascii="Calibri" w:eastAsia="Times New Roman" w:hAnsi="Calibri" w:cs="Calibri"/>
          <w:b/>
          <w:bCs/>
          <w:color w:val="000000"/>
          <w:u w:val="single"/>
        </w:rPr>
        <w:t>O PORT PC</w:t>
      </w:r>
      <w:r w:rsidR="00B300B6">
        <w:rPr>
          <w:rFonts w:ascii="Calibri" w:eastAsia="Times New Roman" w:hAnsi="Calibri" w:cs="Calibri"/>
          <w:u w:val="single"/>
        </w:rPr>
        <w:br/>
      </w:r>
      <w:r w:rsidRPr="00711CE1">
        <w:rPr>
          <w:rFonts w:ascii="Calibri" w:eastAsia="Times New Roman" w:hAnsi="Calibri" w:cs="Calibri"/>
          <w:i/>
          <w:iCs/>
          <w:color w:val="000000"/>
        </w:rPr>
        <w:t xml:space="preserve">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r w:rsidR="00B300B6">
        <w:rPr>
          <w:rFonts w:ascii="Calibri" w:eastAsia="Times New Roman" w:hAnsi="Calibri" w:cs="Calibri"/>
          <w:i/>
          <w:iCs/>
          <w:color w:val="000000"/>
        </w:rPr>
        <w:br/>
      </w:r>
      <w:r w:rsidRPr="00711CE1">
        <w:rPr>
          <w:rFonts w:ascii="Calibri" w:eastAsia="Times New Roman" w:hAnsi="Calibri" w:cs="Calibri"/>
          <w:i/>
          <w:iCs/>
          <w:color w:val="000000"/>
        </w:rPr>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w:t>
      </w:r>
      <w:r w:rsidRPr="00711CE1">
        <w:rPr>
          <w:rFonts w:ascii="Calibri" w:eastAsia="Times New Roman" w:hAnsi="Calibri" w:cs="Calibri"/>
          <w:i/>
          <w:iCs/>
          <w:color w:val="000000"/>
        </w:rPr>
        <w:lastRenderedPageBreak/>
        <w:t xml:space="preserve">prawnych mających wpływ na branżę. Współpracuje z wieloma organizacjami i instytucjami w Polsce i zagranicą, propagując idee poprawy efektywności energetycznej budynków, ochrony jakości powietrza i rozwoju rynku OZE. </w:t>
      </w:r>
    </w:p>
    <w:p w14:paraId="5681E282" w14:textId="2AE4FAD7" w:rsidR="00027207" w:rsidRPr="00711CE1" w:rsidRDefault="00027207" w:rsidP="00027207">
      <w:pPr>
        <w:spacing w:after="100" w:afterAutospacing="1" w:line="240" w:lineRule="auto"/>
        <w:rPr>
          <w:rFonts w:ascii="Calibri" w:eastAsia="Times New Roman" w:hAnsi="Calibri" w:cs="Calibri"/>
          <w:i/>
          <w:iCs/>
          <w:color w:val="000000"/>
        </w:rPr>
      </w:pPr>
      <w:r w:rsidRPr="00711CE1">
        <w:rPr>
          <w:rFonts w:ascii="Calibri" w:eastAsia="Times New Roman" w:hAnsi="Calibri" w:cs="Calibri"/>
          <w:i/>
          <w:iCs/>
          <w:color w:val="000000"/>
        </w:rPr>
        <w:t>PORT PC od 2012 r. jest członkiem Europejskiego Stowarzyszenia Pomp Ciepła (EHPA). Ponadto współpracuje z takimi organizacjami branżowymi jak niemieckie BWP, stowarzyszenie inżynierów VDI</w:t>
      </w:r>
      <w:r w:rsidRPr="00711CE1">
        <w:rPr>
          <w:rFonts w:ascii="Calibri" w:hAnsi="Calibri" w:cs="Calibri"/>
          <w:i/>
          <w:iCs/>
        </w:rPr>
        <w:t xml:space="preserve"> czy </w:t>
      </w:r>
      <w:proofErr w:type="spellStart"/>
      <w:r w:rsidRPr="00711CE1">
        <w:rPr>
          <w:rFonts w:ascii="Calibri" w:hAnsi="Calibri" w:cs="Calibri"/>
          <w:i/>
          <w:iCs/>
        </w:rPr>
        <w:t>European</w:t>
      </w:r>
      <w:proofErr w:type="spellEnd"/>
      <w:r w:rsidRPr="00711CE1">
        <w:rPr>
          <w:rFonts w:ascii="Calibri" w:hAnsi="Calibri" w:cs="Calibri"/>
          <w:i/>
          <w:iCs/>
        </w:rPr>
        <w:t xml:space="preserve"> </w:t>
      </w:r>
      <w:proofErr w:type="spellStart"/>
      <w:r w:rsidRPr="00711CE1">
        <w:rPr>
          <w:rFonts w:ascii="Calibri" w:hAnsi="Calibri" w:cs="Calibri"/>
          <w:i/>
          <w:iCs/>
        </w:rPr>
        <w:t>Geothermal</w:t>
      </w:r>
      <w:proofErr w:type="spellEnd"/>
      <w:r w:rsidRPr="00711CE1">
        <w:rPr>
          <w:rFonts w:ascii="Calibri" w:hAnsi="Calibri" w:cs="Calibri"/>
          <w:i/>
          <w:iCs/>
        </w:rPr>
        <w:t xml:space="preserve"> Energy </w:t>
      </w:r>
      <w:proofErr w:type="spellStart"/>
      <w:r w:rsidRPr="00711CE1">
        <w:rPr>
          <w:rFonts w:ascii="Calibri" w:hAnsi="Calibri" w:cs="Calibri"/>
          <w:i/>
          <w:iCs/>
        </w:rPr>
        <w:t>Council</w:t>
      </w:r>
      <w:proofErr w:type="spellEnd"/>
      <w:r w:rsidRPr="00711CE1">
        <w:rPr>
          <w:rFonts w:ascii="Calibri" w:hAnsi="Calibri" w:cs="Calibri"/>
          <w:i/>
          <w:iCs/>
        </w:rPr>
        <w:t xml:space="preserve"> (EGEC)</w:t>
      </w:r>
      <w:r w:rsidRPr="00711CE1">
        <w:rPr>
          <w:rFonts w:ascii="Calibri" w:eastAsia="Times New Roman" w:hAnsi="Calibri" w:cs="Calibri"/>
          <w:i/>
          <w:iCs/>
          <w:color w:val="000000"/>
        </w:rPr>
        <w:t>. Jest też założycielem i sygnatariuszem Porozumienia Branżowego na rzecz Efektywności Energetycznej POBE (od 2018 r.), obejmującego 13 stowarzyszeń branżowych skupionych wokół efektywności energetycznej budynków.</w:t>
      </w:r>
      <w:r w:rsidR="00B300B6">
        <w:rPr>
          <w:rFonts w:ascii="Calibri" w:eastAsia="Times New Roman" w:hAnsi="Calibri" w:cs="Calibri"/>
          <w:i/>
          <w:iCs/>
          <w:color w:val="000000"/>
        </w:rPr>
        <w:br/>
      </w:r>
      <w:r w:rsidRPr="00711CE1">
        <w:rPr>
          <w:rFonts w:ascii="Calibri" w:eastAsia="Times New Roman" w:hAnsi="Calibri" w:cs="Calibri"/>
          <w:i/>
          <w:iCs/>
          <w:color w:val="000000"/>
        </w:rPr>
        <w:t xml:space="preserve">Więcej informacji o PORT PC na stronie: </w:t>
      </w:r>
      <w:hyperlink r:id="rId7" w:history="1">
        <w:r w:rsidRPr="00711CE1">
          <w:rPr>
            <w:rStyle w:val="Hipercze"/>
            <w:rFonts w:ascii="Calibri" w:eastAsia="Times New Roman" w:hAnsi="Calibri" w:cs="Calibri"/>
            <w:i/>
            <w:iCs/>
          </w:rPr>
          <w:t>www.portpc.pl</w:t>
        </w:r>
      </w:hyperlink>
    </w:p>
    <w:p w14:paraId="31BCE5EB" w14:textId="2C80F043" w:rsidR="0062539D" w:rsidRDefault="0062539D" w:rsidP="0062539D">
      <w:pPr>
        <w:spacing w:before="100" w:beforeAutospacing="1" w:after="100" w:afterAutospacing="1"/>
        <w:rPr>
          <w:rFonts w:ascii="Calibri" w:eastAsia="Times New Roman" w:hAnsi="Calibri" w:cs="Calibri"/>
          <w:color w:val="000000"/>
          <w:lang w:eastAsia="pl-PL"/>
        </w:rPr>
      </w:pPr>
      <w:r w:rsidRPr="00A13059">
        <w:rPr>
          <w:rFonts w:ascii="Calibri" w:eastAsia="Times New Roman" w:hAnsi="Calibri" w:cs="Calibri"/>
          <w:b/>
          <w:bCs/>
          <w:color w:val="000000"/>
          <w:lang w:eastAsia="pl-PL"/>
        </w:rPr>
        <w:t xml:space="preserve">Załącznik I. </w:t>
      </w:r>
      <w:r>
        <w:rPr>
          <w:rFonts w:ascii="Calibri" w:eastAsia="Times New Roman" w:hAnsi="Calibri" w:cs="Calibri"/>
          <w:b/>
          <w:bCs/>
          <w:color w:val="000000"/>
          <w:lang w:eastAsia="pl-PL"/>
        </w:rPr>
        <w:br/>
      </w:r>
      <w:r>
        <w:rPr>
          <w:rFonts w:ascii="Calibri" w:eastAsia="Times New Roman" w:hAnsi="Calibri" w:cs="Calibri"/>
          <w:color w:val="000000"/>
          <w:lang w:eastAsia="pl-PL"/>
        </w:rPr>
        <w:t>Zestawienie</w:t>
      </w:r>
      <w:r w:rsidRPr="00A13059">
        <w:rPr>
          <w:rFonts w:ascii="Calibri" w:eastAsia="Times New Roman" w:hAnsi="Calibri" w:cs="Calibri"/>
          <w:color w:val="000000"/>
          <w:lang w:eastAsia="pl-PL"/>
        </w:rPr>
        <w:t xml:space="preserve"> koszt</w:t>
      </w:r>
      <w:r>
        <w:rPr>
          <w:rFonts w:ascii="Calibri" w:eastAsia="Times New Roman" w:hAnsi="Calibri" w:cs="Calibri"/>
          <w:color w:val="000000"/>
          <w:lang w:eastAsia="pl-PL"/>
        </w:rPr>
        <w:t>ów</w:t>
      </w:r>
      <w:r w:rsidRPr="00A13059">
        <w:rPr>
          <w:rFonts w:ascii="Calibri" w:eastAsia="Times New Roman" w:hAnsi="Calibri" w:cs="Calibri"/>
          <w:color w:val="000000"/>
          <w:lang w:eastAsia="pl-PL"/>
        </w:rPr>
        <w:t xml:space="preserve"> ogrzewania </w:t>
      </w:r>
      <w:r>
        <w:rPr>
          <w:rFonts w:ascii="Calibri" w:eastAsia="Times New Roman" w:hAnsi="Calibri" w:cs="Calibri"/>
          <w:color w:val="000000"/>
          <w:lang w:eastAsia="pl-PL"/>
        </w:rPr>
        <w:t xml:space="preserve">i przygotowania ciepłej wody użytkowej (dla 4 osób) </w:t>
      </w:r>
      <w:r w:rsidRPr="00A13059">
        <w:rPr>
          <w:rFonts w:ascii="Calibri" w:eastAsia="Times New Roman" w:hAnsi="Calibri" w:cs="Calibri"/>
          <w:color w:val="000000"/>
          <w:lang w:eastAsia="pl-PL"/>
        </w:rPr>
        <w:t xml:space="preserve">w budynku </w:t>
      </w:r>
      <w:r>
        <w:rPr>
          <w:rFonts w:ascii="Calibri" w:eastAsia="Times New Roman" w:hAnsi="Calibri" w:cs="Calibri"/>
          <w:color w:val="000000"/>
          <w:lang w:eastAsia="pl-PL"/>
        </w:rPr>
        <w:t xml:space="preserve">jednorodzinnym </w:t>
      </w:r>
      <w:r w:rsidRPr="00A13059">
        <w:rPr>
          <w:rFonts w:ascii="Calibri" w:eastAsia="Times New Roman" w:hAnsi="Calibri" w:cs="Calibri"/>
          <w:color w:val="000000"/>
          <w:lang w:eastAsia="pl-PL"/>
        </w:rPr>
        <w:t>o pow</w:t>
      </w:r>
      <w:r>
        <w:rPr>
          <w:rFonts w:ascii="Calibri" w:eastAsia="Times New Roman" w:hAnsi="Calibri" w:cs="Calibri"/>
          <w:color w:val="000000"/>
          <w:lang w:eastAsia="pl-PL"/>
        </w:rPr>
        <w:t xml:space="preserve">ierzchni ogrzewanej </w:t>
      </w:r>
      <w:r w:rsidRPr="00A13059">
        <w:rPr>
          <w:rFonts w:ascii="Calibri" w:eastAsia="Times New Roman" w:hAnsi="Calibri" w:cs="Calibri"/>
          <w:color w:val="000000"/>
          <w:lang w:eastAsia="pl-PL"/>
        </w:rPr>
        <w:t>150 m</w:t>
      </w:r>
      <w:r w:rsidRPr="00A13059">
        <w:rPr>
          <w:rFonts w:ascii="Calibri" w:eastAsia="Times New Roman" w:hAnsi="Calibri" w:cs="Calibri"/>
          <w:color w:val="000000"/>
          <w:vertAlign w:val="superscript"/>
          <w:lang w:eastAsia="pl-PL"/>
        </w:rPr>
        <w:t>2</w:t>
      </w:r>
      <w:r>
        <w:rPr>
          <w:rFonts w:ascii="Calibri" w:eastAsia="Times New Roman" w:hAnsi="Calibri" w:cs="Calibri"/>
          <w:color w:val="000000"/>
          <w:lang w:eastAsia="pl-PL"/>
        </w:rPr>
        <w:t xml:space="preserve">, </w:t>
      </w:r>
      <w:r w:rsidRPr="00A13059">
        <w:rPr>
          <w:rFonts w:ascii="Calibri" w:eastAsia="Times New Roman" w:hAnsi="Calibri" w:cs="Calibri"/>
          <w:color w:val="000000"/>
          <w:lang w:eastAsia="pl-PL"/>
        </w:rPr>
        <w:t>poddan</w:t>
      </w:r>
      <w:r>
        <w:rPr>
          <w:rFonts w:ascii="Calibri" w:eastAsia="Times New Roman" w:hAnsi="Calibri" w:cs="Calibri"/>
          <w:color w:val="000000"/>
          <w:lang w:eastAsia="pl-PL"/>
        </w:rPr>
        <w:t xml:space="preserve">ym </w:t>
      </w:r>
      <w:r w:rsidRPr="00A13059">
        <w:rPr>
          <w:rFonts w:ascii="Calibri" w:eastAsia="Times New Roman" w:hAnsi="Calibri" w:cs="Calibri"/>
          <w:color w:val="000000"/>
          <w:lang w:eastAsia="pl-PL"/>
        </w:rPr>
        <w:t>termomodernizacji do standardu WT 2017</w:t>
      </w:r>
      <w:r w:rsidRPr="00DA2E96">
        <w:rPr>
          <w:rFonts w:ascii="Calibri" w:eastAsia="Times New Roman" w:hAnsi="Calibri" w:cs="Calibri"/>
          <w:color w:val="000000"/>
          <w:lang w:eastAsia="pl-PL"/>
        </w:rPr>
        <w:t xml:space="preserve"> </w:t>
      </w:r>
      <w:r w:rsidR="00027207">
        <w:rPr>
          <w:rFonts w:ascii="Calibri" w:eastAsia="Times New Roman" w:hAnsi="Calibri" w:cs="Calibri"/>
          <w:color w:val="000000"/>
          <w:lang w:eastAsia="pl-PL"/>
        </w:rPr>
        <w:t>−</w:t>
      </w:r>
      <w:r>
        <w:rPr>
          <w:rFonts w:ascii="Calibri" w:eastAsia="Times New Roman" w:hAnsi="Calibri" w:cs="Calibri"/>
          <w:color w:val="000000"/>
          <w:lang w:eastAsia="pl-PL"/>
        </w:rPr>
        <w:t xml:space="preserve"> III kwartał 2024 r.</w:t>
      </w:r>
    </w:p>
    <w:p w14:paraId="36CD3D31" w14:textId="023A9F77" w:rsidR="0062539D" w:rsidRDefault="0062539D" w:rsidP="0062539D">
      <w:pPr>
        <w:spacing w:before="100" w:beforeAutospacing="1" w:after="100" w:afterAutospacing="1"/>
        <w:rPr>
          <w:rFonts w:ascii="Calibri" w:eastAsia="Times New Roman" w:hAnsi="Calibri" w:cs="Calibri"/>
          <w:color w:val="000000"/>
          <w:lang w:eastAsia="pl-PL"/>
        </w:rPr>
      </w:pPr>
      <w:r>
        <w:rPr>
          <w:noProof/>
        </w:rPr>
        <w:drawing>
          <wp:inline distT="0" distB="0" distL="0" distR="0" wp14:anchorId="0172B939" wp14:editId="293878E1">
            <wp:extent cx="5760720" cy="2540635"/>
            <wp:effectExtent l="0" t="0" r="5080" b="0"/>
            <wp:docPr id="94794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94044" name=""/>
                    <pic:cNvPicPr/>
                  </pic:nvPicPr>
                  <pic:blipFill>
                    <a:blip r:embed="rId8"/>
                    <a:stretch>
                      <a:fillRect/>
                    </a:stretch>
                  </pic:blipFill>
                  <pic:spPr>
                    <a:xfrm>
                      <a:off x="0" y="0"/>
                      <a:ext cx="5760720" cy="2540635"/>
                    </a:xfrm>
                    <a:prstGeom prst="rect">
                      <a:avLst/>
                    </a:prstGeom>
                  </pic:spPr>
                </pic:pic>
              </a:graphicData>
            </a:graphic>
          </wp:inline>
        </w:drawing>
      </w:r>
      <w:r w:rsidRPr="007E2F61">
        <w:rPr>
          <w:rFonts w:ascii="Calibri" w:eastAsia="Times New Roman" w:hAnsi="Calibri" w:cs="Calibri"/>
          <w:noProof/>
          <w:color w:val="000000"/>
          <w:lang w:eastAsia="pl-PL"/>
        </w:rPr>
        <w:t xml:space="preserve"> </w:t>
      </w:r>
      <w:r>
        <w:rPr>
          <w:rFonts w:ascii="Calibri" w:eastAsia="Times New Roman" w:hAnsi="Calibri" w:cs="Calibri"/>
          <w:color w:val="000000"/>
          <w:lang w:eastAsia="pl-PL"/>
        </w:rPr>
        <w:br/>
      </w:r>
      <w:r>
        <w:rPr>
          <w:rFonts w:ascii="Calibri" w:eastAsia="Times New Roman" w:hAnsi="Calibri" w:cs="Calibri"/>
          <w:color w:val="000000"/>
          <w:lang w:eastAsia="pl-PL"/>
        </w:rPr>
        <w:br/>
      </w:r>
      <w:r w:rsidRPr="00A13059">
        <w:rPr>
          <w:rFonts w:ascii="Calibri" w:eastAsia="Times New Roman" w:hAnsi="Calibri" w:cs="Calibri"/>
          <w:b/>
          <w:bCs/>
          <w:color w:val="000000"/>
          <w:lang w:eastAsia="pl-PL"/>
        </w:rPr>
        <w:t xml:space="preserve">Załącznik II. </w:t>
      </w:r>
      <w:r>
        <w:rPr>
          <w:rFonts w:ascii="Calibri" w:eastAsia="Times New Roman" w:hAnsi="Calibri" w:cs="Calibri"/>
          <w:b/>
          <w:bCs/>
          <w:color w:val="000000"/>
          <w:lang w:eastAsia="pl-PL"/>
        </w:rPr>
        <w:br/>
      </w:r>
      <w:r>
        <w:rPr>
          <w:rFonts w:ascii="Calibri" w:eastAsia="Times New Roman" w:hAnsi="Calibri" w:cs="Calibri"/>
          <w:color w:val="000000"/>
          <w:lang w:eastAsia="pl-PL"/>
        </w:rPr>
        <w:t>Zestawienie</w:t>
      </w:r>
      <w:r w:rsidRPr="00DA2E96">
        <w:rPr>
          <w:rFonts w:ascii="Calibri" w:eastAsia="Times New Roman" w:hAnsi="Calibri" w:cs="Calibri"/>
          <w:color w:val="000000"/>
          <w:lang w:eastAsia="pl-PL"/>
        </w:rPr>
        <w:t xml:space="preserve"> koszt</w:t>
      </w:r>
      <w:r>
        <w:rPr>
          <w:rFonts w:ascii="Calibri" w:eastAsia="Times New Roman" w:hAnsi="Calibri" w:cs="Calibri"/>
          <w:color w:val="000000"/>
          <w:lang w:eastAsia="pl-PL"/>
        </w:rPr>
        <w:t>ów</w:t>
      </w:r>
      <w:r w:rsidRPr="00DA2E96">
        <w:rPr>
          <w:rFonts w:ascii="Calibri" w:eastAsia="Times New Roman" w:hAnsi="Calibri" w:cs="Calibri"/>
          <w:color w:val="000000"/>
          <w:lang w:eastAsia="pl-PL"/>
        </w:rPr>
        <w:t xml:space="preserve"> ogrzewania i przygotowania ciepłej wody</w:t>
      </w:r>
      <w:r>
        <w:rPr>
          <w:rFonts w:ascii="Calibri" w:eastAsia="Times New Roman" w:hAnsi="Calibri" w:cs="Calibri"/>
          <w:color w:val="000000"/>
          <w:lang w:eastAsia="pl-PL"/>
        </w:rPr>
        <w:t xml:space="preserve"> użytkowej</w:t>
      </w:r>
      <w:r w:rsidRPr="00DA2E96">
        <w:rPr>
          <w:rFonts w:ascii="Calibri" w:eastAsia="Times New Roman" w:hAnsi="Calibri" w:cs="Calibri"/>
          <w:color w:val="000000"/>
          <w:lang w:eastAsia="pl-PL"/>
        </w:rPr>
        <w:t xml:space="preserve"> </w:t>
      </w:r>
      <w:r>
        <w:rPr>
          <w:rFonts w:ascii="Calibri" w:eastAsia="Times New Roman" w:hAnsi="Calibri" w:cs="Calibri"/>
          <w:color w:val="000000"/>
          <w:lang w:eastAsia="pl-PL"/>
        </w:rPr>
        <w:t>(dla 4 osób) w</w:t>
      </w:r>
      <w:r w:rsidRPr="00DA2E96">
        <w:rPr>
          <w:rFonts w:ascii="Calibri" w:eastAsia="Times New Roman" w:hAnsi="Calibri" w:cs="Calibri"/>
          <w:color w:val="000000"/>
          <w:lang w:eastAsia="pl-PL"/>
        </w:rPr>
        <w:t xml:space="preserve"> now</w:t>
      </w:r>
      <w:r>
        <w:rPr>
          <w:rFonts w:ascii="Calibri" w:eastAsia="Times New Roman" w:hAnsi="Calibri" w:cs="Calibri"/>
          <w:color w:val="000000"/>
          <w:lang w:eastAsia="pl-PL"/>
        </w:rPr>
        <w:t>ym</w:t>
      </w:r>
      <w:r w:rsidRPr="00DA2E96">
        <w:rPr>
          <w:rFonts w:ascii="Calibri" w:eastAsia="Times New Roman" w:hAnsi="Calibri" w:cs="Calibri"/>
          <w:color w:val="000000"/>
          <w:lang w:eastAsia="pl-PL"/>
        </w:rPr>
        <w:t xml:space="preserve"> budynku </w:t>
      </w:r>
      <w:r>
        <w:rPr>
          <w:rFonts w:ascii="Calibri" w:eastAsia="Times New Roman" w:hAnsi="Calibri" w:cs="Calibri"/>
          <w:color w:val="000000"/>
          <w:lang w:eastAsia="pl-PL"/>
        </w:rPr>
        <w:t xml:space="preserve">jednorodzinnym </w:t>
      </w:r>
      <w:r w:rsidRPr="00DA2E96">
        <w:rPr>
          <w:rFonts w:ascii="Calibri" w:eastAsia="Times New Roman" w:hAnsi="Calibri" w:cs="Calibri"/>
          <w:color w:val="000000"/>
          <w:lang w:eastAsia="pl-PL"/>
        </w:rPr>
        <w:t>o pow</w:t>
      </w:r>
      <w:r w:rsidR="00027207">
        <w:rPr>
          <w:rFonts w:ascii="Calibri" w:eastAsia="Times New Roman" w:hAnsi="Calibri" w:cs="Calibri"/>
          <w:color w:val="000000"/>
          <w:lang w:eastAsia="pl-PL"/>
        </w:rPr>
        <w:t>i</w:t>
      </w:r>
      <w:r>
        <w:rPr>
          <w:rFonts w:ascii="Calibri" w:eastAsia="Times New Roman" w:hAnsi="Calibri" w:cs="Calibri"/>
          <w:color w:val="000000"/>
          <w:lang w:eastAsia="pl-PL"/>
        </w:rPr>
        <w:t>erzchni ogrzewanej</w:t>
      </w:r>
      <w:r w:rsidRPr="00DA2E96">
        <w:rPr>
          <w:rFonts w:ascii="Calibri" w:eastAsia="Times New Roman" w:hAnsi="Calibri" w:cs="Calibri"/>
          <w:color w:val="000000"/>
          <w:lang w:eastAsia="pl-PL"/>
        </w:rPr>
        <w:t xml:space="preserve"> 150 m</w:t>
      </w:r>
      <w:r w:rsidRPr="00DA2E96">
        <w:rPr>
          <w:rFonts w:ascii="Calibri" w:eastAsia="Times New Roman" w:hAnsi="Calibri" w:cs="Calibri"/>
          <w:color w:val="000000"/>
          <w:vertAlign w:val="superscript"/>
          <w:lang w:eastAsia="pl-PL"/>
        </w:rPr>
        <w:t>2</w:t>
      </w:r>
      <w:r w:rsidR="00027207">
        <w:rPr>
          <w:rFonts w:ascii="Calibri" w:eastAsia="Times New Roman" w:hAnsi="Calibri" w:cs="Calibri"/>
          <w:color w:val="000000"/>
          <w:lang w:eastAsia="pl-PL"/>
        </w:rPr>
        <w:t xml:space="preserve">, </w:t>
      </w:r>
      <w:r w:rsidRPr="00DA2E96">
        <w:rPr>
          <w:rFonts w:ascii="Calibri" w:eastAsia="Times New Roman" w:hAnsi="Calibri" w:cs="Calibri"/>
          <w:color w:val="000000"/>
          <w:lang w:eastAsia="pl-PL"/>
        </w:rPr>
        <w:t>spełniając</w:t>
      </w:r>
      <w:r>
        <w:rPr>
          <w:rFonts w:ascii="Calibri" w:eastAsia="Times New Roman" w:hAnsi="Calibri" w:cs="Calibri"/>
          <w:color w:val="000000"/>
          <w:lang w:eastAsia="pl-PL"/>
        </w:rPr>
        <w:t>ym</w:t>
      </w:r>
      <w:r w:rsidRPr="00DA2E96">
        <w:rPr>
          <w:rFonts w:ascii="Calibri" w:eastAsia="Times New Roman" w:hAnsi="Calibri" w:cs="Calibri"/>
          <w:color w:val="000000"/>
          <w:lang w:eastAsia="pl-PL"/>
        </w:rPr>
        <w:t xml:space="preserve"> minimalne wymogi Warunków Technicznych WT 2021 </w:t>
      </w:r>
      <w:r>
        <w:rPr>
          <w:rFonts w:ascii="Calibri" w:eastAsia="Times New Roman" w:hAnsi="Calibri" w:cs="Calibri"/>
          <w:color w:val="000000"/>
          <w:lang w:eastAsia="pl-PL"/>
        </w:rPr>
        <w:t>– III kwartał 2024</w:t>
      </w:r>
      <w:r w:rsidR="00027207">
        <w:rPr>
          <w:rFonts w:ascii="Calibri" w:eastAsia="Times New Roman" w:hAnsi="Calibri" w:cs="Calibri"/>
          <w:color w:val="000000"/>
          <w:lang w:eastAsia="pl-PL"/>
        </w:rPr>
        <w:t xml:space="preserve"> r.</w:t>
      </w:r>
    </w:p>
    <w:p w14:paraId="7AB14BF3" w14:textId="77777777" w:rsidR="0062539D" w:rsidRDefault="0062539D" w:rsidP="0062539D">
      <w:pPr>
        <w:spacing w:before="100" w:beforeAutospacing="1" w:after="100" w:afterAutospacing="1"/>
        <w:rPr>
          <w:rFonts w:ascii="Calibri" w:eastAsia="Times New Roman" w:hAnsi="Calibri" w:cs="Calibri"/>
          <w:color w:val="000000"/>
          <w:lang w:eastAsia="pl-PL"/>
        </w:rPr>
      </w:pPr>
      <w:r>
        <w:rPr>
          <w:noProof/>
        </w:rPr>
        <w:lastRenderedPageBreak/>
        <w:drawing>
          <wp:inline distT="0" distB="0" distL="0" distR="0" wp14:anchorId="768219EA" wp14:editId="78292AF7">
            <wp:extent cx="5760720" cy="2540635"/>
            <wp:effectExtent l="0" t="0" r="5080" b="0"/>
            <wp:docPr id="11841073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107382" name=""/>
                    <pic:cNvPicPr/>
                  </pic:nvPicPr>
                  <pic:blipFill>
                    <a:blip r:embed="rId9"/>
                    <a:stretch>
                      <a:fillRect/>
                    </a:stretch>
                  </pic:blipFill>
                  <pic:spPr>
                    <a:xfrm>
                      <a:off x="0" y="0"/>
                      <a:ext cx="5760720" cy="2540635"/>
                    </a:xfrm>
                    <a:prstGeom prst="rect">
                      <a:avLst/>
                    </a:prstGeom>
                  </pic:spPr>
                </pic:pic>
              </a:graphicData>
            </a:graphic>
          </wp:inline>
        </w:drawing>
      </w:r>
    </w:p>
    <w:p w14:paraId="7EBBB098" w14:textId="75851310" w:rsidR="0062539D" w:rsidRDefault="0062539D" w:rsidP="0062539D">
      <w:pPr>
        <w:spacing w:before="100" w:beforeAutospacing="1" w:after="100" w:afterAutospacing="1"/>
        <w:rPr>
          <w:rFonts w:ascii="Calibri" w:eastAsia="Times New Roman" w:hAnsi="Calibri" w:cs="Calibri"/>
          <w:color w:val="000000"/>
          <w:lang w:eastAsia="pl-PL"/>
        </w:rPr>
      </w:pPr>
      <w:r w:rsidRPr="00A13059">
        <w:rPr>
          <w:rFonts w:ascii="Calibri" w:eastAsia="Times New Roman" w:hAnsi="Calibri" w:cs="Calibri"/>
          <w:b/>
          <w:bCs/>
          <w:color w:val="000000"/>
          <w:lang w:eastAsia="pl-PL"/>
        </w:rPr>
        <w:t>Załącznik I</w:t>
      </w:r>
      <w:r>
        <w:rPr>
          <w:rFonts w:ascii="Calibri" w:eastAsia="Times New Roman" w:hAnsi="Calibri" w:cs="Calibri"/>
          <w:b/>
          <w:bCs/>
          <w:color w:val="000000"/>
          <w:lang w:eastAsia="pl-PL"/>
        </w:rPr>
        <w:t>I</w:t>
      </w:r>
      <w:r w:rsidRPr="00A13059">
        <w:rPr>
          <w:rFonts w:ascii="Calibri" w:eastAsia="Times New Roman" w:hAnsi="Calibri" w:cs="Calibri"/>
          <w:b/>
          <w:bCs/>
          <w:color w:val="000000"/>
          <w:lang w:eastAsia="pl-PL"/>
        </w:rPr>
        <w:t xml:space="preserve">I. </w:t>
      </w:r>
      <w:r>
        <w:rPr>
          <w:rFonts w:ascii="Calibri" w:eastAsia="Times New Roman" w:hAnsi="Calibri" w:cs="Calibri"/>
          <w:b/>
          <w:bCs/>
          <w:color w:val="000000"/>
          <w:lang w:eastAsia="pl-PL"/>
        </w:rPr>
        <w:br/>
      </w:r>
      <w:r>
        <w:rPr>
          <w:rFonts w:ascii="Calibri" w:eastAsia="Times New Roman" w:hAnsi="Calibri" w:cs="Calibri"/>
          <w:color w:val="000000"/>
          <w:lang w:eastAsia="pl-PL"/>
        </w:rPr>
        <w:t>Zestawienie</w:t>
      </w:r>
      <w:r w:rsidRPr="00DA2E96">
        <w:rPr>
          <w:rFonts w:ascii="Calibri" w:eastAsia="Times New Roman" w:hAnsi="Calibri" w:cs="Calibri"/>
          <w:color w:val="000000"/>
          <w:lang w:eastAsia="pl-PL"/>
        </w:rPr>
        <w:t xml:space="preserve"> koszt</w:t>
      </w:r>
      <w:r>
        <w:rPr>
          <w:rFonts w:ascii="Calibri" w:eastAsia="Times New Roman" w:hAnsi="Calibri" w:cs="Calibri"/>
          <w:color w:val="000000"/>
          <w:lang w:eastAsia="pl-PL"/>
        </w:rPr>
        <w:t>ów</w:t>
      </w:r>
      <w:r w:rsidRPr="00DA2E96">
        <w:rPr>
          <w:rFonts w:ascii="Calibri" w:eastAsia="Times New Roman" w:hAnsi="Calibri" w:cs="Calibri"/>
          <w:color w:val="000000"/>
          <w:lang w:eastAsia="pl-PL"/>
        </w:rPr>
        <w:t xml:space="preserve"> ogrzewania i przygotowania ciepłej wody </w:t>
      </w:r>
      <w:r>
        <w:rPr>
          <w:rFonts w:ascii="Calibri" w:eastAsia="Times New Roman" w:hAnsi="Calibri" w:cs="Calibri"/>
          <w:color w:val="000000"/>
          <w:lang w:eastAsia="pl-PL"/>
        </w:rPr>
        <w:t>użytkowej (dla 4 osób)</w:t>
      </w:r>
      <w:r w:rsidRPr="00DA2E96">
        <w:rPr>
          <w:rFonts w:ascii="Calibri" w:eastAsia="Times New Roman" w:hAnsi="Calibri" w:cs="Calibri"/>
          <w:color w:val="000000"/>
          <w:lang w:eastAsia="pl-PL"/>
        </w:rPr>
        <w:t xml:space="preserve"> w </w:t>
      </w:r>
      <w:r>
        <w:rPr>
          <w:rFonts w:ascii="Calibri" w:eastAsia="Times New Roman" w:hAnsi="Calibri" w:cs="Calibri"/>
          <w:color w:val="000000"/>
          <w:lang w:eastAsia="pl-PL"/>
        </w:rPr>
        <w:t>nowym</w:t>
      </w:r>
      <w:r w:rsidRPr="00DA2E96">
        <w:rPr>
          <w:rFonts w:ascii="Calibri" w:eastAsia="Times New Roman" w:hAnsi="Calibri" w:cs="Calibri"/>
          <w:color w:val="000000"/>
          <w:lang w:eastAsia="pl-PL"/>
        </w:rPr>
        <w:t xml:space="preserve"> budynku </w:t>
      </w:r>
      <w:r>
        <w:rPr>
          <w:rFonts w:ascii="Calibri" w:eastAsia="Times New Roman" w:hAnsi="Calibri" w:cs="Calibri"/>
          <w:color w:val="000000"/>
          <w:lang w:eastAsia="pl-PL"/>
        </w:rPr>
        <w:t xml:space="preserve">jednorodzinnym </w:t>
      </w:r>
      <w:r w:rsidRPr="00DA2E96">
        <w:rPr>
          <w:rFonts w:ascii="Calibri" w:eastAsia="Times New Roman" w:hAnsi="Calibri" w:cs="Calibri"/>
          <w:color w:val="000000"/>
          <w:lang w:eastAsia="pl-PL"/>
        </w:rPr>
        <w:t>o pow</w:t>
      </w:r>
      <w:r>
        <w:rPr>
          <w:rFonts w:ascii="Calibri" w:eastAsia="Times New Roman" w:hAnsi="Calibri" w:cs="Calibri"/>
          <w:color w:val="000000"/>
          <w:lang w:eastAsia="pl-PL"/>
        </w:rPr>
        <w:t>ierzchni ogrzewanej</w:t>
      </w:r>
      <w:r w:rsidRPr="00DA2E96">
        <w:rPr>
          <w:rFonts w:ascii="Calibri" w:eastAsia="Times New Roman" w:hAnsi="Calibri" w:cs="Calibri"/>
          <w:color w:val="000000"/>
          <w:lang w:eastAsia="pl-PL"/>
        </w:rPr>
        <w:t xml:space="preserve"> 150 m</w:t>
      </w:r>
      <w:r w:rsidRPr="00DA2E96">
        <w:rPr>
          <w:rFonts w:ascii="Calibri" w:eastAsia="Times New Roman" w:hAnsi="Calibri" w:cs="Calibri"/>
          <w:color w:val="000000"/>
          <w:vertAlign w:val="superscript"/>
          <w:lang w:eastAsia="pl-PL"/>
        </w:rPr>
        <w:t>2</w:t>
      </w:r>
      <w:r w:rsidR="00027207">
        <w:rPr>
          <w:rFonts w:ascii="Calibri" w:eastAsia="Times New Roman" w:hAnsi="Calibri" w:cs="Calibri"/>
          <w:color w:val="000000"/>
          <w:lang w:eastAsia="pl-PL"/>
        </w:rPr>
        <w:t xml:space="preserve">, </w:t>
      </w:r>
      <w:r w:rsidRPr="00DA2E96">
        <w:rPr>
          <w:rFonts w:ascii="Calibri" w:eastAsia="Times New Roman" w:hAnsi="Calibri" w:cs="Calibri"/>
          <w:color w:val="000000"/>
          <w:lang w:eastAsia="pl-PL"/>
        </w:rPr>
        <w:t>spełniając</w:t>
      </w:r>
      <w:r>
        <w:rPr>
          <w:rFonts w:ascii="Calibri" w:eastAsia="Times New Roman" w:hAnsi="Calibri" w:cs="Calibri"/>
          <w:color w:val="000000"/>
          <w:lang w:eastAsia="pl-PL"/>
        </w:rPr>
        <w:t>ym</w:t>
      </w:r>
      <w:r w:rsidRPr="00DA2E96">
        <w:rPr>
          <w:rFonts w:ascii="Calibri" w:eastAsia="Times New Roman" w:hAnsi="Calibri" w:cs="Calibri"/>
          <w:color w:val="000000"/>
          <w:lang w:eastAsia="pl-PL"/>
        </w:rPr>
        <w:t xml:space="preserve"> warunki taksonomii zrównoważonego finansowania i programu dofinasowania „Moje Ciepło”</w:t>
      </w:r>
      <w:r>
        <w:rPr>
          <w:rFonts w:ascii="Calibri" w:eastAsia="Times New Roman" w:hAnsi="Calibri" w:cs="Calibri"/>
          <w:color w:val="000000"/>
          <w:lang w:eastAsia="pl-PL"/>
        </w:rPr>
        <w:t xml:space="preserve"> – III kwartał 2024</w:t>
      </w:r>
      <w:r w:rsidR="00027207">
        <w:rPr>
          <w:rFonts w:ascii="Calibri" w:eastAsia="Times New Roman" w:hAnsi="Calibri" w:cs="Calibri"/>
          <w:color w:val="000000"/>
          <w:lang w:eastAsia="pl-PL"/>
        </w:rPr>
        <w:t xml:space="preserve"> r.</w:t>
      </w:r>
    </w:p>
    <w:p w14:paraId="58C272AD" w14:textId="77777777" w:rsidR="00027207" w:rsidRDefault="00027207" w:rsidP="00B6120E">
      <w:pPr>
        <w:pStyle w:val="NormalnyWeb"/>
        <w:shd w:val="clear" w:color="auto" w:fill="FFFFFF"/>
        <w:spacing w:before="0" w:beforeAutospacing="0" w:after="150" w:afterAutospacing="0"/>
        <w:rPr>
          <w:rFonts w:ascii="Calibri" w:hAnsi="Calibri" w:cs="Calibri"/>
          <w:sz w:val="22"/>
          <w:szCs w:val="22"/>
        </w:rPr>
      </w:pPr>
      <w:r>
        <w:rPr>
          <w:noProof/>
        </w:rPr>
        <w:drawing>
          <wp:inline distT="0" distB="0" distL="0" distR="0" wp14:anchorId="73BEE59B" wp14:editId="4046FDD9">
            <wp:extent cx="5760720" cy="2540635"/>
            <wp:effectExtent l="0" t="0" r="0" b="0"/>
            <wp:docPr id="5336920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692061" name=""/>
                    <pic:cNvPicPr/>
                  </pic:nvPicPr>
                  <pic:blipFill>
                    <a:blip r:embed="rId10"/>
                    <a:stretch>
                      <a:fillRect/>
                    </a:stretch>
                  </pic:blipFill>
                  <pic:spPr>
                    <a:xfrm>
                      <a:off x="0" y="0"/>
                      <a:ext cx="5760720" cy="2540635"/>
                    </a:xfrm>
                    <a:prstGeom prst="rect">
                      <a:avLst/>
                    </a:prstGeom>
                  </pic:spPr>
                </pic:pic>
              </a:graphicData>
            </a:graphic>
          </wp:inline>
        </w:drawing>
      </w:r>
    </w:p>
    <w:sectPr w:rsidR="00027207" w:rsidSect="004A41E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E916" w14:textId="77777777" w:rsidR="00E52FE2" w:rsidRDefault="00E52FE2" w:rsidP="007E31FB">
      <w:pPr>
        <w:spacing w:after="0" w:line="240" w:lineRule="auto"/>
      </w:pPr>
      <w:r>
        <w:separator/>
      </w:r>
    </w:p>
  </w:endnote>
  <w:endnote w:type="continuationSeparator" w:id="0">
    <w:p w14:paraId="473AE10D" w14:textId="77777777" w:rsidR="00E52FE2" w:rsidRDefault="00E52FE2"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AEE8" w14:textId="77777777" w:rsidR="00E52FE2" w:rsidRDefault="00E52FE2" w:rsidP="007E31FB">
      <w:pPr>
        <w:spacing w:after="0" w:line="240" w:lineRule="auto"/>
      </w:pPr>
      <w:r>
        <w:separator/>
      </w:r>
    </w:p>
  </w:footnote>
  <w:footnote w:type="continuationSeparator" w:id="0">
    <w:p w14:paraId="318841CE" w14:textId="77777777" w:rsidR="00E52FE2" w:rsidRDefault="00E52FE2" w:rsidP="007E3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6"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7706790">
    <w:abstractNumId w:val="32"/>
  </w:num>
  <w:num w:numId="2" w16cid:durableId="1363751206">
    <w:abstractNumId w:val="9"/>
  </w:num>
  <w:num w:numId="3" w16cid:durableId="1293485473">
    <w:abstractNumId w:val="30"/>
  </w:num>
  <w:num w:numId="4" w16cid:durableId="1795295051">
    <w:abstractNumId w:val="33"/>
  </w:num>
  <w:num w:numId="5" w16cid:durableId="420372935">
    <w:abstractNumId w:val="29"/>
  </w:num>
  <w:num w:numId="6" w16cid:durableId="450830101">
    <w:abstractNumId w:val="4"/>
  </w:num>
  <w:num w:numId="7" w16cid:durableId="1175733142">
    <w:abstractNumId w:val="8"/>
  </w:num>
  <w:num w:numId="8" w16cid:durableId="436024588">
    <w:abstractNumId w:val="25"/>
  </w:num>
  <w:num w:numId="9" w16cid:durableId="1337419379">
    <w:abstractNumId w:val="28"/>
  </w:num>
  <w:num w:numId="10" w16cid:durableId="1952737967">
    <w:abstractNumId w:val="34"/>
  </w:num>
  <w:num w:numId="11" w16cid:durableId="1828739278">
    <w:abstractNumId w:val="5"/>
  </w:num>
  <w:num w:numId="12" w16cid:durableId="472218128">
    <w:abstractNumId w:val="10"/>
  </w:num>
  <w:num w:numId="13" w16cid:durableId="1139105583">
    <w:abstractNumId w:val="0"/>
  </w:num>
  <w:num w:numId="14" w16cid:durableId="1754668865">
    <w:abstractNumId w:val="11"/>
  </w:num>
  <w:num w:numId="15" w16cid:durableId="1592884275">
    <w:abstractNumId w:val="7"/>
  </w:num>
  <w:num w:numId="16" w16cid:durableId="473186313">
    <w:abstractNumId w:val="31"/>
  </w:num>
  <w:num w:numId="17" w16cid:durableId="622346489">
    <w:abstractNumId w:val="22"/>
  </w:num>
  <w:num w:numId="18" w16cid:durableId="684525088">
    <w:abstractNumId w:val="23"/>
  </w:num>
  <w:num w:numId="19" w16cid:durableId="804543925">
    <w:abstractNumId w:val="18"/>
  </w:num>
  <w:num w:numId="20" w16cid:durableId="2069375823">
    <w:abstractNumId w:val="17"/>
  </w:num>
  <w:num w:numId="21" w16cid:durableId="1917281955">
    <w:abstractNumId w:val="24"/>
  </w:num>
  <w:num w:numId="22" w16cid:durableId="501430325">
    <w:abstractNumId w:val="2"/>
  </w:num>
  <w:num w:numId="23" w16cid:durableId="992025521">
    <w:abstractNumId w:val="3"/>
  </w:num>
  <w:num w:numId="24" w16cid:durableId="1360350664">
    <w:abstractNumId w:val="12"/>
  </w:num>
  <w:num w:numId="25" w16cid:durableId="445731553">
    <w:abstractNumId w:val="26"/>
  </w:num>
  <w:num w:numId="26" w16cid:durableId="743529170">
    <w:abstractNumId w:val="35"/>
  </w:num>
  <w:num w:numId="27" w16cid:durableId="213733074">
    <w:abstractNumId w:val="6"/>
  </w:num>
  <w:num w:numId="28" w16cid:durableId="832650619">
    <w:abstractNumId w:val="21"/>
  </w:num>
  <w:num w:numId="29" w16cid:durableId="921260932">
    <w:abstractNumId w:val="13"/>
  </w:num>
  <w:num w:numId="30" w16cid:durableId="63525814">
    <w:abstractNumId w:val="14"/>
  </w:num>
  <w:num w:numId="31" w16cid:durableId="1137839269">
    <w:abstractNumId w:val="20"/>
  </w:num>
  <w:num w:numId="32" w16cid:durableId="188035786">
    <w:abstractNumId w:val="15"/>
  </w:num>
  <w:num w:numId="33" w16cid:durableId="1162085942">
    <w:abstractNumId w:val="1"/>
  </w:num>
  <w:num w:numId="34" w16cid:durableId="1836719693">
    <w:abstractNumId w:val="16"/>
  </w:num>
  <w:num w:numId="35" w16cid:durableId="248272182">
    <w:abstractNumId w:val="19"/>
  </w:num>
  <w:num w:numId="36" w16cid:durableId="60222891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5"/>
    <w:rsid w:val="00001968"/>
    <w:rsid w:val="00004360"/>
    <w:rsid w:val="00011531"/>
    <w:rsid w:val="00013BD9"/>
    <w:rsid w:val="0001788F"/>
    <w:rsid w:val="00027207"/>
    <w:rsid w:val="000439C0"/>
    <w:rsid w:val="000450B5"/>
    <w:rsid w:val="00052226"/>
    <w:rsid w:val="00052450"/>
    <w:rsid w:val="00081FEF"/>
    <w:rsid w:val="000844D8"/>
    <w:rsid w:val="00086DE2"/>
    <w:rsid w:val="00096A1F"/>
    <w:rsid w:val="000A22A7"/>
    <w:rsid w:val="000B23A1"/>
    <w:rsid w:val="000B2E2C"/>
    <w:rsid w:val="000B4F6B"/>
    <w:rsid w:val="000C023D"/>
    <w:rsid w:val="000D45D4"/>
    <w:rsid w:val="000E7DA0"/>
    <w:rsid w:val="000F4796"/>
    <w:rsid w:val="000F57DE"/>
    <w:rsid w:val="000F64B9"/>
    <w:rsid w:val="000F6A3A"/>
    <w:rsid w:val="00107E02"/>
    <w:rsid w:val="00111EE4"/>
    <w:rsid w:val="00134D6C"/>
    <w:rsid w:val="001455C2"/>
    <w:rsid w:val="00154332"/>
    <w:rsid w:val="0015638E"/>
    <w:rsid w:val="001730B7"/>
    <w:rsid w:val="0017591E"/>
    <w:rsid w:val="001765B7"/>
    <w:rsid w:val="00180F8C"/>
    <w:rsid w:val="00184461"/>
    <w:rsid w:val="001A4A28"/>
    <w:rsid w:val="001A613B"/>
    <w:rsid w:val="001C7C17"/>
    <w:rsid w:val="001D1DDD"/>
    <w:rsid w:val="001D35D5"/>
    <w:rsid w:val="001D61F7"/>
    <w:rsid w:val="001D64F2"/>
    <w:rsid w:val="001E36C9"/>
    <w:rsid w:val="001F0A38"/>
    <w:rsid w:val="001F40E2"/>
    <w:rsid w:val="001F4297"/>
    <w:rsid w:val="0020506B"/>
    <w:rsid w:val="00205E81"/>
    <w:rsid w:val="00206A4A"/>
    <w:rsid w:val="00217DA6"/>
    <w:rsid w:val="00232F89"/>
    <w:rsid w:val="0023797D"/>
    <w:rsid w:val="00251379"/>
    <w:rsid w:val="00253551"/>
    <w:rsid w:val="0026330E"/>
    <w:rsid w:val="00275328"/>
    <w:rsid w:val="00276A00"/>
    <w:rsid w:val="002978C1"/>
    <w:rsid w:val="002A5802"/>
    <w:rsid w:val="002A5ED5"/>
    <w:rsid w:val="002C546E"/>
    <w:rsid w:val="002D4DD5"/>
    <w:rsid w:val="002E4819"/>
    <w:rsid w:val="002E573D"/>
    <w:rsid w:val="002F2B18"/>
    <w:rsid w:val="00300E22"/>
    <w:rsid w:val="003012D1"/>
    <w:rsid w:val="00301C7D"/>
    <w:rsid w:val="00312F69"/>
    <w:rsid w:val="003155A7"/>
    <w:rsid w:val="00332A5C"/>
    <w:rsid w:val="00335337"/>
    <w:rsid w:val="00337206"/>
    <w:rsid w:val="00340F7F"/>
    <w:rsid w:val="0034219D"/>
    <w:rsid w:val="00342621"/>
    <w:rsid w:val="00351997"/>
    <w:rsid w:val="00352EF0"/>
    <w:rsid w:val="00362EAA"/>
    <w:rsid w:val="00363FC2"/>
    <w:rsid w:val="00366254"/>
    <w:rsid w:val="0037669F"/>
    <w:rsid w:val="003820D6"/>
    <w:rsid w:val="00382629"/>
    <w:rsid w:val="0039105F"/>
    <w:rsid w:val="003A2470"/>
    <w:rsid w:val="003B16AF"/>
    <w:rsid w:val="003B1CE0"/>
    <w:rsid w:val="003B3C29"/>
    <w:rsid w:val="003B60C2"/>
    <w:rsid w:val="003C3C21"/>
    <w:rsid w:val="003C564B"/>
    <w:rsid w:val="003C7210"/>
    <w:rsid w:val="003D0594"/>
    <w:rsid w:val="003D3171"/>
    <w:rsid w:val="003E4415"/>
    <w:rsid w:val="003E76EC"/>
    <w:rsid w:val="003F444B"/>
    <w:rsid w:val="004044FA"/>
    <w:rsid w:val="004157C1"/>
    <w:rsid w:val="00417B73"/>
    <w:rsid w:val="004240A9"/>
    <w:rsid w:val="0043480C"/>
    <w:rsid w:val="0045535A"/>
    <w:rsid w:val="00455C01"/>
    <w:rsid w:val="00465A81"/>
    <w:rsid w:val="00472168"/>
    <w:rsid w:val="004768BA"/>
    <w:rsid w:val="004776FE"/>
    <w:rsid w:val="004824F7"/>
    <w:rsid w:val="00486D9E"/>
    <w:rsid w:val="004876C7"/>
    <w:rsid w:val="0049073C"/>
    <w:rsid w:val="00495C0A"/>
    <w:rsid w:val="0049660C"/>
    <w:rsid w:val="004A2B3A"/>
    <w:rsid w:val="004A41E5"/>
    <w:rsid w:val="004A4284"/>
    <w:rsid w:val="004A5DD7"/>
    <w:rsid w:val="004B1C00"/>
    <w:rsid w:val="004B4147"/>
    <w:rsid w:val="004B643A"/>
    <w:rsid w:val="004E0E48"/>
    <w:rsid w:val="004F44EF"/>
    <w:rsid w:val="00501E1B"/>
    <w:rsid w:val="00501E36"/>
    <w:rsid w:val="005022FD"/>
    <w:rsid w:val="00502500"/>
    <w:rsid w:val="005113CC"/>
    <w:rsid w:val="005135F4"/>
    <w:rsid w:val="00514C12"/>
    <w:rsid w:val="00524DEA"/>
    <w:rsid w:val="0052622A"/>
    <w:rsid w:val="00560A3E"/>
    <w:rsid w:val="00570B23"/>
    <w:rsid w:val="00571EB7"/>
    <w:rsid w:val="0057593C"/>
    <w:rsid w:val="00585E55"/>
    <w:rsid w:val="00586FFE"/>
    <w:rsid w:val="00593779"/>
    <w:rsid w:val="005A2D8A"/>
    <w:rsid w:val="005B7332"/>
    <w:rsid w:val="005C0549"/>
    <w:rsid w:val="005C2788"/>
    <w:rsid w:val="005C37BA"/>
    <w:rsid w:val="005C54C0"/>
    <w:rsid w:val="005C6B2A"/>
    <w:rsid w:val="005E401A"/>
    <w:rsid w:val="005F44C9"/>
    <w:rsid w:val="00601DED"/>
    <w:rsid w:val="00602A6F"/>
    <w:rsid w:val="0062539D"/>
    <w:rsid w:val="0062629D"/>
    <w:rsid w:val="00626C86"/>
    <w:rsid w:val="00635E09"/>
    <w:rsid w:val="00643177"/>
    <w:rsid w:val="00646603"/>
    <w:rsid w:val="00651879"/>
    <w:rsid w:val="00652B02"/>
    <w:rsid w:val="00654178"/>
    <w:rsid w:val="0065750E"/>
    <w:rsid w:val="00663F63"/>
    <w:rsid w:val="00674B0A"/>
    <w:rsid w:val="00676831"/>
    <w:rsid w:val="00680975"/>
    <w:rsid w:val="0068448F"/>
    <w:rsid w:val="00684CDF"/>
    <w:rsid w:val="00687C41"/>
    <w:rsid w:val="006943DB"/>
    <w:rsid w:val="006A78E5"/>
    <w:rsid w:val="006B052B"/>
    <w:rsid w:val="006B0D45"/>
    <w:rsid w:val="006B14F3"/>
    <w:rsid w:val="006B1EDC"/>
    <w:rsid w:val="006D0048"/>
    <w:rsid w:val="006D0EDB"/>
    <w:rsid w:val="006D30AB"/>
    <w:rsid w:val="006D3A2A"/>
    <w:rsid w:val="006D3A9D"/>
    <w:rsid w:val="006D684B"/>
    <w:rsid w:val="006E183F"/>
    <w:rsid w:val="006E416B"/>
    <w:rsid w:val="006E7571"/>
    <w:rsid w:val="006F4725"/>
    <w:rsid w:val="006F5220"/>
    <w:rsid w:val="006F78B5"/>
    <w:rsid w:val="00707113"/>
    <w:rsid w:val="00711CE1"/>
    <w:rsid w:val="007209A5"/>
    <w:rsid w:val="00742F36"/>
    <w:rsid w:val="00750918"/>
    <w:rsid w:val="00756588"/>
    <w:rsid w:val="00763713"/>
    <w:rsid w:val="0076393F"/>
    <w:rsid w:val="0077124A"/>
    <w:rsid w:val="00794517"/>
    <w:rsid w:val="007952A2"/>
    <w:rsid w:val="007A5AD1"/>
    <w:rsid w:val="007A657B"/>
    <w:rsid w:val="007A6637"/>
    <w:rsid w:val="007B401A"/>
    <w:rsid w:val="007C0C2E"/>
    <w:rsid w:val="007D1CA0"/>
    <w:rsid w:val="007E31FB"/>
    <w:rsid w:val="007F1E68"/>
    <w:rsid w:val="00825993"/>
    <w:rsid w:val="00827729"/>
    <w:rsid w:val="00851547"/>
    <w:rsid w:val="0085163B"/>
    <w:rsid w:val="00851EEC"/>
    <w:rsid w:val="00854861"/>
    <w:rsid w:val="00856FDD"/>
    <w:rsid w:val="00857AB7"/>
    <w:rsid w:val="0088164B"/>
    <w:rsid w:val="0088292A"/>
    <w:rsid w:val="008878D3"/>
    <w:rsid w:val="00891648"/>
    <w:rsid w:val="00894E6F"/>
    <w:rsid w:val="00895716"/>
    <w:rsid w:val="008A13CD"/>
    <w:rsid w:val="008A6E82"/>
    <w:rsid w:val="008B2A4F"/>
    <w:rsid w:val="008D2EE4"/>
    <w:rsid w:val="008D5F14"/>
    <w:rsid w:val="008F2F6F"/>
    <w:rsid w:val="008F43AD"/>
    <w:rsid w:val="00907AAE"/>
    <w:rsid w:val="00910CDF"/>
    <w:rsid w:val="00910F60"/>
    <w:rsid w:val="00913D8B"/>
    <w:rsid w:val="00916CCA"/>
    <w:rsid w:val="009218C4"/>
    <w:rsid w:val="00923881"/>
    <w:rsid w:val="00926CC5"/>
    <w:rsid w:val="00931862"/>
    <w:rsid w:val="0096200E"/>
    <w:rsid w:val="009710E9"/>
    <w:rsid w:val="009731EB"/>
    <w:rsid w:val="00974103"/>
    <w:rsid w:val="009768DE"/>
    <w:rsid w:val="009776F3"/>
    <w:rsid w:val="00981A2E"/>
    <w:rsid w:val="009830E8"/>
    <w:rsid w:val="00983FCF"/>
    <w:rsid w:val="00984A71"/>
    <w:rsid w:val="00986542"/>
    <w:rsid w:val="0099011C"/>
    <w:rsid w:val="0099346B"/>
    <w:rsid w:val="009A494E"/>
    <w:rsid w:val="009A7FD6"/>
    <w:rsid w:val="009B3C4A"/>
    <w:rsid w:val="009C1896"/>
    <w:rsid w:val="009C3331"/>
    <w:rsid w:val="009C781A"/>
    <w:rsid w:val="009E30E4"/>
    <w:rsid w:val="009F0188"/>
    <w:rsid w:val="009F35E5"/>
    <w:rsid w:val="00A03365"/>
    <w:rsid w:val="00A05FC3"/>
    <w:rsid w:val="00A105ED"/>
    <w:rsid w:val="00A138E5"/>
    <w:rsid w:val="00A21B9D"/>
    <w:rsid w:val="00A24FCE"/>
    <w:rsid w:val="00A250DE"/>
    <w:rsid w:val="00A4034D"/>
    <w:rsid w:val="00A47DC5"/>
    <w:rsid w:val="00A55C18"/>
    <w:rsid w:val="00A64D55"/>
    <w:rsid w:val="00A668EA"/>
    <w:rsid w:val="00A701A7"/>
    <w:rsid w:val="00A76FC2"/>
    <w:rsid w:val="00A84738"/>
    <w:rsid w:val="00A85990"/>
    <w:rsid w:val="00A936E3"/>
    <w:rsid w:val="00A943F0"/>
    <w:rsid w:val="00A961B8"/>
    <w:rsid w:val="00AA5277"/>
    <w:rsid w:val="00AB1669"/>
    <w:rsid w:val="00AB66A7"/>
    <w:rsid w:val="00AE1E12"/>
    <w:rsid w:val="00AE7425"/>
    <w:rsid w:val="00AE7D84"/>
    <w:rsid w:val="00B0278B"/>
    <w:rsid w:val="00B04E33"/>
    <w:rsid w:val="00B10E1C"/>
    <w:rsid w:val="00B16F74"/>
    <w:rsid w:val="00B220AE"/>
    <w:rsid w:val="00B25C14"/>
    <w:rsid w:val="00B300B6"/>
    <w:rsid w:val="00B31C69"/>
    <w:rsid w:val="00B35601"/>
    <w:rsid w:val="00B35922"/>
    <w:rsid w:val="00B44ED5"/>
    <w:rsid w:val="00B454FE"/>
    <w:rsid w:val="00B47B60"/>
    <w:rsid w:val="00B6120E"/>
    <w:rsid w:val="00B64EF9"/>
    <w:rsid w:val="00B70A27"/>
    <w:rsid w:val="00B70CBD"/>
    <w:rsid w:val="00B7235D"/>
    <w:rsid w:val="00B75F10"/>
    <w:rsid w:val="00B90257"/>
    <w:rsid w:val="00B91C4E"/>
    <w:rsid w:val="00B95B55"/>
    <w:rsid w:val="00BA1BDF"/>
    <w:rsid w:val="00BA32DF"/>
    <w:rsid w:val="00BB20AC"/>
    <w:rsid w:val="00BB36C8"/>
    <w:rsid w:val="00BB41CF"/>
    <w:rsid w:val="00BC6ED1"/>
    <w:rsid w:val="00BD0E12"/>
    <w:rsid w:val="00BD300D"/>
    <w:rsid w:val="00BF6A08"/>
    <w:rsid w:val="00C41043"/>
    <w:rsid w:val="00C4432F"/>
    <w:rsid w:val="00C614ED"/>
    <w:rsid w:val="00C617F7"/>
    <w:rsid w:val="00C66B8E"/>
    <w:rsid w:val="00C777D8"/>
    <w:rsid w:val="00C8188D"/>
    <w:rsid w:val="00C82180"/>
    <w:rsid w:val="00C82A32"/>
    <w:rsid w:val="00C87DFF"/>
    <w:rsid w:val="00C87FC9"/>
    <w:rsid w:val="00C9060C"/>
    <w:rsid w:val="00CB5FF2"/>
    <w:rsid w:val="00CC597D"/>
    <w:rsid w:val="00CD2610"/>
    <w:rsid w:val="00CF1524"/>
    <w:rsid w:val="00D215F9"/>
    <w:rsid w:val="00D33D53"/>
    <w:rsid w:val="00D41458"/>
    <w:rsid w:val="00D4591F"/>
    <w:rsid w:val="00D52DF0"/>
    <w:rsid w:val="00D54443"/>
    <w:rsid w:val="00D611C7"/>
    <w:rsid w:val="00D621CD"/>
    <w:rsid w:val="00D651D8"/>
    <w:rsid w:val="00D7571F"/>
    <w:rsid w:val="00D775E5"/>
    <w:rsid w:val="00D83CD3"/>
    <w:rsid w:val="00D84238"/>
    <w:rsid w:val="00D84880"/>
    <w:rsid w:val="00D87B02"/>
    <w:rsid w:val="00D91575"/>
    <w:rsid w:val="00D94FFA"/>
    <w:rsid w:val="00DA23E5"/>
    <w:rsid w:val="00DA35A3"/>
    <w:rsid w:val="00DA41BB"/>
    <w:rsid w:val="00DC2CFD"/>
    <w:rsid w:val="00DD59D2"/>
    <w:rsid w:val="00DD65ED"/>
    <w:rsid w:val="00DE2848"/>
    <w:rsid w:val="00DE2E52"/>
    <w:rsid w:val="00DF7E30"/>
    <w:rsid w:val="00E022D3"/>
    <w:rsid w:val="00E13043"/>
    <w:rsid w:val="00E151F0"/>
    <w:rsid w:val="00E246AB"/>
    <w:rsid w:val="00E3189D"/>
    <w:rsid w:val="00E36DB0"/>
    <w:rsid w:val="00E45D8E"/>
    <w:rsid w:val="00E463EC"/>
    <w:rsid w:val="00E52FE2"/>
    <w:rsid w:val="00E5788E"/>
    <w:rsid w:val="00E579DB"/>
    <w:rsid w:val="00E61577"/>
    <w:rsid w:val="00E65CE1"/>
    <w:rsid w:val="00E668C7"/>
    <w:rsid w:val="00E66FDA"/>
    <w:rsid w:val="00E74F76"/>
    <w:rsid w:val="00E84E37"/>
    <w:rsid w:val="00E8730C"/>
    <w:rsid w:val="00E917F3"/>
    <w:rsid w:val="00E95563"/>
    <w:rsid w:val="00E96927"/>
    <w:rsid w:val="00EB0924"/>
    <w:rsid w:val="00EB1210"/>
    <w:rsid w:val="00EE2456"/>
    <w:rsid w:val="00EE760C"/>
    <w:rsid w:val="00F05DF4"/>
    <w:rsid w:val="00F10BF9"/>
    <w:rsid w:val="00F17ACD"/>
    <w:rsid w:val="00F211F1"/>
    <w:rsid w:val="00F21E11"/>
    <w:rsid w:val="00F326C1"/>
    <w:rsid w:val="00F35D85"/>
    <w:rsid w:val="00F44EC0"/>
    <w:rsid w:val="00F51005"/>
    <w:rsid w:val="00F51B06"/>
    <w:rsid w:val="00F52AF4"/>
    <w:rsid w:val="00F579BA"/>
    <w:rsid w:val="00F61DBA"/>
    <w:rsid w:val="00F6480F"/>
    <w:rsid w:val="00F65B9F"/>
    <w:rsid w:val="00F70E38"/>
    <w:rsid w:val="00F733EA"/>
    <w:rsid w:val="00F73E2E"/>
    <w:rsid w:val="00F76DAF"/>
    <w:rsid w:val="00F7787B"/>
    <w:rsid w:val="00F806EE"/>
    <w:rsid w:val="00F84445"/>
    <w:rsid w:val="00F85CEE"/>
    <w:rsid w:val="00F904AE"/>
    <w:rsid w:val="00F90CE9"/>
    <w:rsid w:val="00F92F6E"/>
    <w:rsid w:val="00F94496"/>
    <w:rsid w:val="00FA7B00"/>
    <w:rsid w:val="00FB1D9C"/>
    <w:rsid w:val="00FB36A5"/>
    <w:rsid w:val="00FC1B6D"/>
    <w:rsid w:val="00FC2BCE"/>
    <w:rsid w:val="00FC7098"/>
    <w:rsid w:val="00FD28BD"/>
    <w:rsid w:val="00FD719F"/>
    <w:rsid w:val="00FE0842"/>
    <w:rsid w:val="00FE5BFA"/>
    <w:rsid w:val="00FE7D1D"/>
    <w:rsid w:val="00FF0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semiHidden/>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styleId="Nierozpoznanawzmianka">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semiHidden/>
    <w:rsid w:val="006E416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rtp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1191</Words>
  <Characters>7152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Paweł Lachman</cp:lastModifiedBy>
  <cp:revision>3</cp:revision>
  <dcterms:created xsi:type="dcterms:W3CDTF">2024-07-04T07:02:00Z</dcterms:created>
  <dcterms:modified xsi:type="dcterms:W3CDTF">2024-07-04T07:03:00Z</dcterms:modified>
</cp:coreProperties>
</file>