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2EA74" w14:textId="693EECAC" w:rsidR="007E31FB" w:rsidRDefault="007E31FB" w:rsidP="00F51B06">
      <w:pPr>
        <w:spacing w:line="240" w:lineRule="auto"/>
        <w:jc w:val="right"/>
        <w:rPr>
          <w:rFonts w:ascii="Calibri" w:hAnsi="Calibri" w:cs="Calibri"/>
        </w:rPr>
      </w:pPr>
      <w:r w:rsidRPr="007E31FB">
        <w:rPr>
          <w:rFonts w:ascii="Calibri" w:hAnsi="Calibri" w:cs="Calibri"/>
        </w:rPr>
        <w:t xml:space="preserve">Kraków, </w:t>
      </w:r>
      <w:r w:rsidR="00D14169">
        <w:rPr>
          <w:rFonts w:ascii="Calibri" w:hAnsi="Calibri" w:cs="Calibri"/>
        </w:rPr>
        <w:t>1</w:t>
      </w:r>
      <w:r w:rsidR="006656BD">
        <w:rPr>
          <w:rFonts w:ascii="Calibri" w:hAnsi="Calibri" w:cs="Calibri"/>
        </w:rPr>
        <w:t>7</w:t>
      </w:r>
      <w:r w:rsidR="00D14169">
        <w:rPr>
          <w:rFonts w:ascii="Calibri" w:hAnsi="Calibri" w:cs="Calibri"/>
        </w:rPr>
        <w:t xml:space="preserve"> </w:t>
      </w:r>
      <w:r w:rsidR="00AE7A9B">
        <w:rPr>
          <w:rFonts w:ascii="Calibri" w:hAnsi="Calibri" w:cs="Calibri"/>
        </w:rPr>
        <w:t>grudnia</w:t>
      </w:r>
      <w:r w:rsidR="00D5646A">
        <w:rPr>
          <w:rFonts w:ascii="Calibri" w:hAnsi="Calibri" w:cs="Calibri"/>
        </w:rPr>
        <w:t xml:space="preserve"> 2025</w:t>
      </w:r>
      <w:r w:rsidRPr="007E31FB">
        <w:rPr>
          <w:rFonts w:ascii="Calibri" w:hAnsi="Calibri" w:cs="Calibri"/>
        </w:rPr>
        <w:t xml:space="preserve"> r.</w:t>
      </w:r>
    </w:p>
    <w:p w14:paraId="708D18B6" w14:textId="77777777" w:rsidR="007E31FB" w:rsidRPr="007E31FB" w:rsidRDefault="007E31FB" w:rsidP="007E31FB">
      <w:pPr>
        <w:spacing w:line="240" w:lineRule="auto"/>
        <w:jc w:val="right"/>
        <w:rPr>
          <w:rFonts w:ascii="Calibri" w:hAnsi="Calibri" w:cs="Calibri"/>
        </w:rPr>
      </w:pPr>
    </w:p>
    <w:p w14:paraId="3DCD440F" w14:textId="73716038" w:rsidR="00D41FFD" w:rsidRPr="003C0591" w:rsidRDefault="00D41FFD" w:rsidP="000A26D8">
      <w:pPr>
        <w:spacing w:after="120"/>
        <w:rPr>
          <w:rFonts w:ascii="Calibri" w:eastAsia="Times New Roman" w:hAnsi="Calibri" w:cs="Calibri"/>
          <w:color w:val="000000"/>
          <w:kern w:val="0"/>
          <w:sz w:val="32"/>
          <w:szCs w:val="32"/>
          <w:lang w:eastAsia="pl-PL"/>
          <w14:ligatures w14:val="none"/>
        </w:rPr>
      </w:pPr>
      <w:proofErr w:type="spellStart"/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>Elastokaloryki</w:t>
      </w:r>
      <w:proofErr w:type="spellEnd"/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 xml:space="preserve"> to obiecujący kierunek badań, a nie realna alternatywa dla </w:t>
      </w:r>
      <w:r w:rsidR="003C0591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 xml:space="preserve">sprężarkowych </w:t>
      </w:r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 xml:space="preserve">pomp ciepła </w:t>
      </w:r>
      <w:r w:rsidR="006103D1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 xml:space="preserve">stosowanych </w:t>
      </w:r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sz w:val="32"/>
          <w:szCs w:val="32"/>
          <w:lang w:eastAsia="pl-PL"/>
          <w14:ligatures w14:val="none"/>
        </w:rPr>
        <w:t>w budynkach</w:t>
      </w:r>
    </w:p>
    <w:p w14:paraId="117CA2D3" w14:textId="77777777" w:rsidR="00EE52E9" w:rsidRDefault="00EE52E9" w:rsidP="000A26D8">
      <w:pPr>
        <w:spacing w:after="12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Sensacyjne doniesienia o „nowej generacji” pomp ciepła nie dotyczą technologii gotowych do ogrzewania budynków, lecz wczesnych badań laboratoryjnych. W polskich mediach pojawiły się publikacje sugerujące, że </w:t>
      </w:r>
      <w:proofErr w:type="spellStart"/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elastokaloryczne</w:t>
      </w:r>
      <w:proofErr w:type="spellEnd"/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pompy ciepła osiągają nawet pięciokrotnie wyższą efektywność niż współczesne, sprężarkowe pompy ciepła i wkrótce je zastąpią. PORT PC wyjaśnia, że informacje te są sprzeczne z wynikami badań naukowych. Odnoszą się wyłącznie do symulacji komputerowych wykonanych w specyficznych, idealizowanych warunkach, a nie do rzeczywistych urządzeń testowanych w laboratoriach. Faktem jest, że badania nad </w:t>
      </w:r>
      <w:proofErr w:type="spellStart"/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elastokalorykami</w:t>
      </w:r>
      <w:proofErr w:type="spellEnd"/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są obiecujące, jednak na obecnym etapie nie mają związku z technologiami ogrzewania budynków, lecz głównie z ich chłodzeniem.</w:t>
      </w:r>
    </w:p>
    <w:p w14:paraId="2D67A1A8" w14:textId="77777777" w:rsidR="00EE52E9" w:rsidRDefault="00EE52E9" w:rsidP="000A26D8">
      <w:pPr>
        <w:spacing w:after="120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C775F5D" w14:textId="757F3D82" w:rsidR="00206472" w:rsidRPr="00206472" w:rsidRDefault="00206472" w:rsidP="000A26D8">
      <w:pPr>
        <w:spacing w:after="120"/>
        <w:jc w:val="both"/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</w:pPr>
      <w:r w:rsidRPr="00206472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Prototypy </w:t>
      </w:r>
      <w:r w:rsidR="00A15F37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tylko w skali</w:t>
      </w:r>
      <w:r w:rsidRPr="00206472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małego </w:t>
      </w:r>
      <w:r w:rsidRPr="00206472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wentylatora</w:t>
      </w:r>
    </w:p>
    <w:p w14:paraId="0E0DFEA8" w14:textId="09CB7E37" w:rsidR="00D41FFD" w:rsidRPr="003F7FC4" w:rsidRDefault="00A529CA" w:rsidP="000A26D8">
      <w:pPr>
        <w:spacing w:after="1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Działanie </w:t>
      </w:r>
      <w:proofErr w:type="spellStart"/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lastokaloryczn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ych</w:t>
      </w:r>
      <w:proofErr w:type="spellEnd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pomp ciepła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opiera się na 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cyklicznym odkształcaniu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stopów niklowo-tytanowych (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NiTi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)</w:t>
      </w:r>
      <w:r w:rsidR="00B60C3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które 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efekcie nieznacznie </w:t>
      </w:r>
      <w:r w:rsidR="00B60C3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zmieniają swoją temperaturę – absorbując lub uwalniając energię cieplną. </w:t>
      </w:r>
      <w:r w:rsidR="0020647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 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dłuższego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czasu </w:t>
      </w:r>
      <w:r w:rsidR="0020647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prace nad </w:t>
      </w:r>
      <w:r w:rsidR="00206472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tą technologią </w:t>
      </w:r>
      <w:r w:rsidR="0020647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są </w:t>
      </w:r>
      <w:r w:rsidR="000A26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zaangażowane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różne 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europejskie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ośrodki </w:t>
      </w:r>
      <w:r w:rsidR="0003491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badawcze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w tym niemieckie, jednak </w:t>
      </w:r>
      <w:r w:rsidR="00D41FFD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dostępne </w:t>
      </w:r>
      <w:r w:rsid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dziś </w:t>
      </w:r>
      <w:r w:rsidR="00D41FFD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prototypy </w:t>
      </w:r>
      <w:r w:rsidR="00DE5498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urządzeń </w:t>
      </w:r>
      <w:r w:rsidR="00D41FFD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osiągają moc </w:t>
      </w:r>
      <w:r w:rsidR="00DE5498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grzewczą </w:t>
      </w:r>
      <w:r w:rsidR="00D41FFD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rzędu </w:t>
      </w:r>
      <w:r w:rsidR="00DE5498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zaledwie kilku</w:t>
      </w:r>
      <w:r w:rsidR="00D41FFD" w:rsidRPr="00DE5498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watów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Oznacza to, że ich możliwości są 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wielokrotnie mniejsze niż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współczesnych</w:t>
      </w:r>
      <w:r w:rsidR="00FB1C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sprężarkowych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pomp ciepła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które stosuje się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budynkach mieszkalnych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– bo te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B1C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muszą mieć moc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od kilku do kilkunastu kilowatów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gwarantując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stabiln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prac</w:t>
      </w:r>
      <w:r w:rsidR="00DE549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ę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przez wiele tysięcy godzin rocznie. Różnica między </w:t>
      </w:r>
      <w:r w:rsidR="00FB1C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obiema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technologiami jest </w:t>
      </w:r>
      <w:r w:rsidR="00FB1C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więc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zasadnicza i nie pozwala mówić </w:t>
      </w:r>
      <w:r w:rsidR="00D41FF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obecnie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 jakiejkolwiek konkurencyjności.</w:t>
      </w:r>
    </w:p>
    <w:p w14:paraId="05EF3242" w14:textId="737C40FB" w:rsidR="002F5C7D" w:rsidRPr="003F7FC4" w:rsidRDefault="002F5C7D" w:rsidP="002F5C7D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− </w:t>
      </w:r>
      <w:r w:rsidR="00A83409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Wszelkie informacje</w:t>
      </w:r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prasowe sugerujące, że </w:t>
      </w:r>
      <w:proofErr w:type="spellStart"/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elastokaloryczne</w:t>
      </w:r>
      <w:proofErr w:type="spellEnd"/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pompy ciepła mogą zastąpić obecnie stosowane urządzenia</w:t>
      </w:r>
      <w:r w:rsidR="00A83409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to</w:t>
      </w:r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nieporozumienie. Dzisiejsze prototypy </w:t>
      </w:r>
      <w:proofErr w:type="spellStart"/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elastokaloryków</w:t>
      </w:r>
      <w:proofErr w:type="spellEnd"/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mają moc </w:t>
      </w:r>
      <w:r w:rsidR="003E40EA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zbliżoną do </w:t>
      </w:r>
      <w:r w:rsidRPr="002F5C7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wentylatora w komputerach, podczas gdy pompy ciepła ogrzewające domy pracują z mocą tysięcy watów. Różnica skali jest kolosalna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–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podkreśla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Paweł Lachman, prezes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zarządu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PORT PC.</w:t>
      </w:r>
    </w:p>
    <w:p w14:paraId="1191774F" w14:textId="5DA57204" w:rsidR="00206472" w:rsidRPr="00185A8C" w:rsidRDefault="00883B85" w:rsidP="00206472">
      <w:pPr>
        <w:spacing w:after="120"/>
        <w:jc w:val="both"/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D</w:t>
      </w:r>
      <w:r w:rsidR="00206472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aleko </w:t>
      </w:r>
      <w:proofErr w:type="spellStart"/>
      <w:r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elastokalorykom</w:t>
      </w:r>
      <w:proofErr w:type="spellEnd"/>
      <w:r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</w:t>
      </w:r>
      <w:r w:rsidR="00206472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do </w:t>
      </w:r>
      <w:r w:rsidR="00206472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współczesnych</w:t>
      </w:r>
      <w:r w:rsidR="00206472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pomp ciepła</w:t>
      </w:r>
    </w:p>
    <w:p w14:paraId="726F3DC2" w14:textId="5F9E6126" w:rsidR="005730EF" w:rsidRDefault="00D41FFD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Rzetelną ocenę możliwości 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elastokaloryków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przedstawia </w:t>
      </w:r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metaanaliza „Performance </w:t>
      </w:r>
      <w:proofErr w:type="spellStart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overview</w:t>
      </w:r>
      <w:proofErr w:type="spellEnd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of </w:t>
      </w:r>
      <w:proofErr w:type="spellStart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caloric</w:t>
      </w:r>
      <w:proofErr w:type="spellEnd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heat</w:t>
      </w:r>
      <w:proofErr w:type="spellEnd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pumps</w:t>
      </w:r>
      <w:proofErr w:type="spellEnd"/>
      <w:r w:rsidRPr="00FB1C46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: Update 2024”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opublikowana przez 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Aalborg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University (</w:t>
      </w:r>
      <w:proofErr w:type="spellStart"/>
      <w:r w:rsidRPr="006E2D2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Department</w:t>
      </w:r>
      <w:proofErr w:type="spellEnd"/>
      <w:r w:rsidRPr="006E2D2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of the </w:t>
      </w:r>
      <w:proofErr w:type="spellStart"/>
      <w:r w:rsidRPr="006E2D2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Built</w:t>
      </w:r>
      <w:proofErr w:type="spellEnd"/>
      <w:r w:rsidRPr="006E2D2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Environment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) jako Technical Report No. 323 we wrześniu 2024 r.</w:t>
      </w:r>
      <w:r w:rsidR="006656BD">
        <w:rPr>
          <w:rStyle w:val="Odwoanieprzypisudolnego"/>
          <w:rFonts w:ascii="Calibri" w:eastAsia="Times New Roman" w:hAnsi="Calibri" w:cs="Calibri"/>
          <w:color w:val="000000"/>
          <w:kern w:val="0"/>
          <w:lang w:eastAsia="pl-PL"/>
          <w14:ligatures w14:val="none"/>
        </w:rPr>
        <w:footnoteReference w:id="1"/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Jej autorem jest dr 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Hicham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Johra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Jest to najbardziej kompleksowe opracowanie naukowe </w:t>
      </w:r>
      <w:r w:rsidR="00FB1C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tej dziedzinie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obejmujące ponad 160 publikacji naukowych i ponad 300 wyników eksperymentów. Wynika z niego jednoznacznie, że </w:t>
      </w:r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istniejące prototypy </w:t>
      </w:r>
      <w:proofErr w:type="spellStart"/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elastokaloryków</w:t>
      </w:r>
      <w:proofErr w:type="spellEnd"/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wciąż mocno odstają od aktualnych potrzeb rynkowych, </w:t>
      </w:r>
      <w:r w:rsidR="002310D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zwłaszcza </w:t>
      </w:r>
      <w:r w:rsidR="005730E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zakresie ogrzewania </w:t>
      </w:r>
      <w:r w:rsidR="002310D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budynków</w:t>
      </w:r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I tak:</w:t>
      </w:r>
    </w:p>
    <w:p w14:paraId="33FD4A65" w14:textId="48EA399F" w:rsidR="005730EF" w:rsidRPr="003F5DF5" w:rsidRDefault="003F5DF5" w:rsidP="000A26D8">
      <w:pPr>
        <w:pStyle w:val="Akapitzlist"/>
        <w:numPr>
          <w:ilvl w:val="0"/>
          <w:numId w:val="42"/>
        </w:numPr>
        <w:spacing w:after="120"/>
        <w:ind w:left="357" w:hanging="357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 xml:space="preserve">wartość 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współczynnik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COP </w:t>
      </w:r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dla badanych prototypów 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wynosi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około 1</w:t>
      </w:r>
      <w:r w:rsidR="00FB1C46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2 przy 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typowych dla ogrzewania budynków 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różnic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ach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temperatur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ź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ródeł ciepła (20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 w:rsidR="00D41FFD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35 K)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;</w:t>
      </w:r>
    </w:p>
    <w:p w14:paraId="0608DFDC" w14:textId="4CCEC84E" w:rsidR="005730EF" w:rsidRPr="003F5DF5" w:rsidRDefault="00D41FFD" w:rsidP="000A26D8">
      <w:pPr>
        <w:pStyle w:val="Akapitzlist"/>
        <w:numPr>
          <w:ilvl w:val="0"/>
          <w:numId w:val="42"/>
        </w:numPr>
        <w:spacing w:after="120"/>
        <w:ind w:left="357" w:hanging="357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sprawność względem idealnego</w:t>
      </w:r>
      <w:r w:rsidR="003E40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odwróconego obiegu</w:t>
      </w:r>
      <w:r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Carnota nie przekracza 20 procent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;</w:t>
      </w:r>
    </w:p>
    <w:p w14:paraId="5894781D" w14:textId="77777777" w:rsidR="003F5DF5" w:rsidRDefault="00D41FFD" w:rsidP="000A26D8">
      <w:pPr>
        <w:pStyle w:val="Akapitzlist"/>
        <w:numPr>
          <w:ilvl w:val="0"/>
          <w:numId w:val="42"/>
        </w:numPr>
        <w:spacing w:after="120"/>
        <w:ind w:left="357" w:hanging="357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moc</w:t>
      </w:r>
      <w:r w:rsidR="005730EF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grzewcza</w:t>
      </w:r>
      <w:r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urządzeń </w:t>
      </w:r>
      <w:r w:rsidR="003F5DF5"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sięga</w:t>
      </w:r>
      <w:r w:rsidRP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przeważnie od 1 do 30 W, sporadycznie około 100 W. </w:t>
      </w:r>
    </w:p>
    <w:p w14:paraId="2EBEC9FE" w14:textId="77777777" w:rsidR="00EE52E9" w:rsidRDefault="00D41FFD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Dla porównania, współczesne sprężarkowe </w:t>
      </w:r>
      <w:r w:rsidR="003F5DF5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pompy ciepła</w:t>
      </w:r>
      <w:r w:rsidR="000A26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działając </w:t>
      </w:r>
      <w:r w:rsidR="000A26D8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identycznych warunkach temperaturowych</w:t>
      </w:r>
      <w:r w:rsidR="000A26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  <w:r w:rsidR="003F5DF5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osiągają 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współczynnik </w:t>
      </w:r>
      <w:r w:rsidR="003E40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efektywności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COP na poziomie 3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6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a i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ch sprawność względem idealnego</w:t>
      </w:r>
      <w:r w:rsidR="00EE52E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odwróconego </w:t>
      </w:r>
      <w:r w:rsidR="003E40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obiegu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Carnota wynosi od 40 do 60 procent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Z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apewniają </w:t>
      </w:r>
      <w:r w:rsidR="000A26D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przy tym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wysoką stabilność eksploatacyjną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żywotność rzędu 20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25 lat</w:t>
      </w:r>
      <w:r w:rsidR="006E2D2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</w:t>
      </w:r>
      <w:r w:rsidR="003F5DF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ferta rynkowa </w:t>
      </w:r>
      <w:r w:rsidR="006E2D2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obejmuje 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modele</w:t>
      </w:r>
      <w:r w:rsidR="006E2D2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bardzo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6E2D2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szerokim zakresie mocy: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od kilku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kilowatów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kilkudziesięciu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megawatów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</w:t>
      </w:r>
    </w:p>
    <w:p w14:paraId="47405BB5" w14:textId="0C0AB06C" w:rsidR="00E9137C" w:rsidRPr="00E9137C" w:rsidRDefault="006E2D20" w:rsidP="000A26D8">
      <w:pPr>
        <w:spacing w:after="120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To jednoznacznie dowodzi, że</w:t>
      </w:r>
      <w:r w:rsidR="00D41FFD"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="00D41FFD"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elastokaloryki</w:t>
      </w:r>
      <w:proofErr w:type="spellEnd"/>
      <w:r w:rsidR="00D41FFD" w:rsidRP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nie mogą być traktowane jako technologia alternatywna wobec pomp ciepła stosowanych obecnie w budynkach.</w:t>
      </w:r>
      <w:r w:rsidR="00EE52E9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Wyniki dotychczasowych badań nad </w:t>
      </w:r>
      <w:proofErr w:type="spellStart"/>
      <w:r w:rsid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elastokalorykami</w:t>
      </w:r>
      <w:proofErr w:type="spellEnd"/>
      <w:r w:rsidR="00E9137C" w:rsidRP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przekonuj</w:t>
      </w:r>
      <w:r w:rsid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ą</w:t>
      </w:r>
      <w:r w:rsidR="00E9137C" w:rsidRP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, że wykorzystanie </w:t>
      </w:r>
      <w:r w:rsid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tej </w:t>
      </w:r>
      <w:r w:rsidR="00E9137C" w:rsidRP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technologii w ogrzewaniu budynków nie jest na tym etapie możliwe. W przyszłości może ona znaleźć niszowe zastosowania w obszarze chłodzenia budynków, wymaga to jednak dalszych badań</w:t>
      </w:r>
      <w:r w:rsidR="00582B6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.</w:t>
      </w:r>
      <w:r w:rsidR="00E9137C" w:rsidRPr="00E9137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3A4EED2" w14:textId="5C17022F" w:rsidR="00E9137C" w:rsidRPr="00185A8C" w:rsidRDefault="007A7627" w:rsidP="000A26D8">
      <w:pPr>
        <w:spacing w:after="120"/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</w:pPr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Nie mylmy</w:t>
      </w:r>
      <w:r w:rsidR="00E9137C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symulacj</w:t>
      </w:r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i</w:t>
      </w:r>
      <w:r w:rsidR="00E9137C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</w:t>
      </w:r>
      <w:r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z faktycznymi możliwościami</w:t>
      </w:r>
      <w:r w:rsidR="00E9137C" w:rsidRPr="00185A8C"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 xml:space="preserve"> </w:t>
      </w:r>
    </w:p>
    <w:p w14:paraId="7B24C23C" w14:textId="3EEEC4E2" w:rsidR="00185A8C" w:rsidRDefault="00307613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Rozpowszechniane przez niektóre media</w:t>
      </w:r>
      <w:r w:rsidR="007A762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rewelacje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 „pięciokrotnie wyższej wydajności” </w:t>
      </w:r>
      <w:proofErr w:type="spellStart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elastokaloryków</w:t>
      </w:r>
      <w:proofErr w:type="spellEnd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554855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odnoszą się</w:t>
      </w:r>
      <w:r w:rsidR="00C537FC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D41FFD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wyłącznie do </w:t>
      </w:r>
      <w:r w:rsidR="00554855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„</w:t>
      </w:r>
      <w:r w:rsidR="00185A8C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osiągnięć</w:t>
      </w:r>
      <w:r w:rsidR="00554855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”</w:t>
      </w:r>
      <w:r w:rsidR="00185A8C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1E6BD5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sztucznie wykreowanych </w:t>
      </w:r>
      <w:r w:rsidR="00D41FFD" w:rsidRPr="0055485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modeli komputerowych</w:t>
      </w:r>
      <w:r w:rsidR="00C537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których</w:t>
      </w:r>
      <w:r w:rsidR="001E6BD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praca była analizowana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bardzo wąskich zakresach temperatur</w:t>
      </w:r>
      <w:r w:rsidR="001E6BD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źródeł ciepła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często przy różnicy zaledwie kilku </w:t>
      </w:r>
      <w:r w:rsidR="001E6BD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elwinów</w:t>
      </w:r>
      <w:r w:rsidR="00C537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</w:t>
      </w:r>
      <w:r w:rsidR="00C537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ogólnie w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idealnych warunk</w:t>
      </w:r>
      <w:r w:rsidR="00C537F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ach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To właśnie takie modele – a nie pomiary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pracy rzeczywistych urządzeń i układów grzewczych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– wygenerowały sensacyjne wyniki cytowane w doniesieniach prasowych. Symulacje tego typu nie </w:t>
      </w:r>
      <w:r w:rsidR="00A8340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uwzględniają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A8340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faktycznych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zakresów temperatur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dla ogrzewania budynków i nie uwzględniają rzeczywistych strat</w:t>
      </w:r>
      <w:r w:rsidR="0055485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ciepła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oporów przepływu ani ograniczeń materiałowych stopów </w:t>
      </w:r>
      <w:proofErr w:type="spellStart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NiTi</w:t>
      </w:r>
      <w:proofErr w:type="spellEnd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79A1DED3" w14:textId="2BC87FB7" w:rsidR="00D41FFD" w:rsidRDefault="00D41FFD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arto również zaznaczyć, że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nie istnieje obecnie żaden prototyp </w:t>
      </w:r>
      <w:proofErr w:type="spellStart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elastokaloryczny</w:t>
      </w:r>
      <w:proofErr w:type="spellEnd"/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który w pomiarach laboratoryjnych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osiąga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łby takie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parametry, które </w:t>
      </w:r>
      <w:r w:rsidR="00185A8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pozwoliłyby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na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powszechne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zastosowanie tej technologii w budynkach. Finansowanie, o którym informują media, odnosi się do badań podstawowych i </w:t>
      </w:r>
      <w:r w:rsidR="002F5C7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prac nad 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rozwoj</w:t>
      </w:r>
      <w:r w:rsidR="002F5C7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em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materiałów</w:t>
      </w:r>
      <w:r w:rsidR="002F5C7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="002F5C7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elastokalorycznych</w:t>
      </w:r>
      <w:proofErr w:type="spellEnd"/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a nie do urządzeń nadających się do wdrożenia rynkowego w systemach centralnego ogrzewania wodnego.</w:t>
      </w:r>
    </w:p>
    <w:p w14:paraId="1CEE457F" w14:textId="6F47684F" w:rsidR="00554855" w:rsidRPr="003F7FC4" w:rsidRDefault="00554855" w:rsidP="00554855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− </w:t>
      </w:r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W przypadku </w:t>
      </w:r>
      <w:proofErr w:type="spellStart"/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elastokaloryków</w:t>
      </w:r>
      <w:proofErr w:type="spellEnd"/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w doniesieniach prasowych mówi się o pięciokrotnie wyższej wydajności, ale – </w:t>
      </w:r>
      <w:r w:rsidR="00582B60"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co w artykułach nie zostało już zaznaczone</w:t>
      </w:r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− te liczby pochodzą z symulacji, a nie z </w:t>
      </w:r>
      <w:r w:rsidR="00582B60"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rzeczywistych </w:t>
      </w:r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pomiarów. W realnych warunkach, zbliżonych do domowych zastosowań pomp ciepła, współczynnik efektywności COP </w:t>
      </w:r>
      <w:proofErr w:type="spellStart"/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elastokaloryków</w:t>
      </w:r>
      <w:proofErr w:type="spellEnd"/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wynosi około 1-</w:t>
      </w:r>
      <w:proofErr w:type="gramStart"/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2</w:t>
      </w:r>
      <w:proofErr w:type="gramEnd"/>
      <w:r w:rsidR="003E40EA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czyli w tych warunkach są nawet 3 krotnie mniej efektywne niż pompy ciepła</w:t>
      </w:r>
      <w:r w:rsidRPr="00582B6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. Nie ma żadnego prototypu tych urządzeń, który osiąga parametry choćby zbliżone do pomp ciepła stosowanych w budynkach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−</w:t>
      </w:r>
      <w:r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podkreśla Lachman.</w:t>
      </w:r>
    </w:p>
    <w:p w14:paraId="3E6AA950" w14:textId="240F41BB" w:rsidR="00554855" w:rsidRPr="00582B60" w:rsidRDefault="003A3E73" w:rsidP="000A26D8">
      <w:pPr>
        <w:spacing w:after="120"/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4472C4" w:themeColor="accent1"/>
          <w:kern w:val="0"/>
          <w:lang w:eastAsia="pl-PL"/>
          <w14:ligatures w14:val="none"/>
        </w:rPr>
        <w:t>Nie dziś, nie jutro i nie zamiast pomp ciepła</w:t>
      </w:r>
    </w:p>
    <w:p w14:paraId="51EE3186" w14:textId="5A8003A0" w:rsidR="00D41FFD" w:rsidRPr="003F7FC4" w:rsidRDefault="00582B60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proofErr w:type="spellStart"/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lastokaloryki</w:t>
      </w:r>
      <w:proofErr w:type="spellEnd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są dziś obiecującym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kierun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kiem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badań, zwłaszcza w kontekście chłodzenia budynków. </w:t>
      </w:r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Jeśli zaś chodzi o ich potencjał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jako technologii grzewczej</w:t>
      </w:r>
      <w:r w:rsidR="00515D1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to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aby móc go wykorzystać na szerszą skalę</w:t>
      </w:r>
      <w:r w:rsidR="00A14181" w:rsidRP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trzeba </w:t>
      </w:r>
      <w:r w:rsidR="00510A46" w:rsidRP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najpierw pokonać</w:t>
      </w:r>
      <w:r w:rsidR="00D41FFD" w:rsidRP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szereg </w:t>
      </w:r>
      <w:r w:rsidR="003A3E73" w:rsidRP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ograniczeń </w:t>
      </w:r>
      <w:r w:rsidR="00D41FFD" w:rsidRP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materiałowych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zwiększ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yć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trwałoś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ć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cykliczn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stopów </w:t>
      </w:r>
      <w:proofErr w:type="spellStart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NiTi</w:t>
      </w:r>
      <w:proofErr w:type="spellEnd"/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oraz opracowa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ć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komponent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umożliwiające efektywną prac</w:t>
      </w:r>
      <w:r w:rsidR="00A141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ę urządzeń 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przy różnicach temperatur</w:t>
      </w:r>
      <w:r w:rsidR="002310D9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typowych dla ogrzewania. Może to być </w:t>
      </w:r>
      <w:r w:rsidR="00D41FFD" w:rsidRPr="00A1418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perspektywa kilkunastu lub </w:t>
      </w:r>
      <w:r w:rsidR="003E40EA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nawet </w:t>
      </w:r>
      <w:r w:rsidR="00D41FFD" w:rsidRPr="00A1418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kilkudziesięciu lat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Z pewnością nie jest to technologia gotowa, by zastąpić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pomp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ciepła stosowan</w:t>
      </w:r>
      <w:r w:rsidR="00510A46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obecnie.</w:t>
      </w:r>
    </w:p>
    <w:p w14:paraId="357E4175" w14:textId="6E93B89D" w:rsidR="00D41FFD" w:rsidRPr="003F7FC4" w:rsidRDefault="00510A46" w:rsidP="000A26D8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− 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To ważny i przyszłościowy kierunek badań, ale przedstawianie </w:t>
      </w:r>
      <w:proofErr w:type="spellStart"/>
      <w:r w:rsidR="004914F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elastokaloryków</w:t>
      </w:r>
      <w:proofErr w:type="spellEnd"/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jako alternatywy dla pomp ciepła w 2025 roku wprowadza opinię publiczną w błąd. Wszystkie kluczowe analizy Komisji 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lastRenderedPageBreak/>
        <w:t>Europejskiej</w:t>
      </w:r>
      <w:r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oraz Międzynarodowej Agencji Energetycznej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</w:t>
      </w:r>
      <w:r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IEA</w:t>
      </w:r>
      <w:r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)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potwierdzają, że </w:t>
      </w:r>
      <w:r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sprężarkowe </w:t>
      </w:r>
      <w:r w:rsidR="00D41FFD" w:rsidRPr="00510A46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pompy ciepła pozostaną fundamentem elektryfikacji ogrzewania w Europie przez najbliższe dekady</w:t>
      </w:r>
      <w:r w:rsidR="008C4A5D" w:rsidRPr="008C4A5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8C4A5D" w:rsidRPr="008C4A5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i </w:t>
      </w:r>
      <w:r w:rsidR="008C4A5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że są one</w:t>
      </w:r>
      <w:r w:rsidR="008C4A5D" w:rsidRPr="008C4A5D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najlepszą dostępną technologią do ogrzewania i chłodzenia budynków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— </w:t>
      </w:r>
      <w:r w:rsidR="008C4A5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dodaje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Paweł Lachman</w:t>
      </w:r>
      <w:r w:rsidR="00D41FFD" w:rsidRPr="003F7FC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  <w:r w:rsidR="008C4A5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</w:p>
    <w:p w14:paraId="47524C7F" w14:textId="77777777" w:rsidR="00C75E80" w:rsidRDefault="00C75E80" w:rsidP="000A26D8">
      <w:pPr>
        <w:spacing w:after="12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75E8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Rewelacje prasowe na temat </w:t>
      </w:r>
      <w:proofErr w:type="spellStart"/>
      <w:r w:rsidRPr="00C75E8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elastokaloryków</w:t>
      </w:r>
      <w:proofErr w:type="spellEnd"/>
      <w:r w:rsidRPr="00C75E8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wpisują się w kolejną falę publikacji opartych na uproszczeniach i niepełnych informacjach, które podważają zaufanie do pomp ciepła. W ostatnich latach zjawisko to obserwowane jest zarówno w Polsce, jak i w innych krajach Europy, a w niektórych mediach przybiera formę praktyki polegającej na codziennym publikowaniu podobnych treści jako odrębnych, nowych materiałów. Publikacje dotyczące rzekomych „alternatywnych technologii grzewczych” stają się w ten sposób stałym elementem debaty publicznej, mimo że odnoszą się do rozwiązań będących na bardzo wczesnym etapie rozwoju. Dlatego PORT PC apeluje o odnoszenie dyskusji do sprawdzonych danych naukowych oraz technologii realnie dostępnych na rynku, które odgrywają kluczową rolę w transformacji energetycznej.</w:t>
      </w:r>
      <w:r w:rsidRPr="00C75E8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</w:p>
    <w:p w14:paraId="78F63AA0" w14:textId="11460C4B" w:rsidR="00E668C7" w:rsidRDefault="00E668C7" w:rsidP="000A26D8">
      <w:pPr>
        <w:spacing w:after="120" w:line="240" w:lineRule="auto"/>
        <w:rPr>
          <w:rFonts w:ascii="Calibri" w:eastAsia="Times New Roman" w:hAnsi="Calibri" w:cs="Calibri"/>
          <w:i/>
          <w:iCs/>
        </w:rPr>
      </w:pPr>
      <w:r w:rsidRPr="00A378EB">
        <w:rPr>
          <w:rFonts w:ascii="Calibri" w:eastAsia="Times New Roman" w:hAnsi="Calibri" w:cs="Calibri"/>
          <w:i/>
          <w:iCs/>
        </w:rPr>
        <w:t>[Źródło: PORT PC]</w:t>
      </w:r>
    </w:p>
    <w:p w14:paraId="0EF8A8D1" w14:textId="13A8C27E" w:rsidR="00257574" w:rsidRPr="00257574" w:rsidRDefault="00257574" w:rsidP="000A26D8">
      <w:pPr>
        <w:spacing w:after="120" w:line="240" w:lineRule="auto"/>
        <w:rPr>
          <w:rFonts w:ascii="Calibri" w:eastAsia="Times New Roman" w:hAnsi="Calibri" w:cs="Calibri"/>
          <w:i/>
          <w:iCs/>
        </w:rPr>
      </w:pPr>
    </w:p>
    <w:p w14:paraId="7C9046D8" w14:textId="77777777" w:rsidR="00E668C7" w:rsidRPr="00711CE1" w:rsidRDefault="00E668C7" w:rsidP="000A26D8">
      <w:pPr>
        <w:spacing w:after="120"/>
        <w:rPr>
          <w:rFonts w:ascii="Calibri" w:eastAsia="Times New Roman" w:hAnsi="Calibri" w:cs="Calibri"/>
          <w:u w:val="single"/>
        </w:rPr>
      </w:pPr>
      <w:r w:rsidRPr="00711CE1">
        <w:rPr>
          <w:rFonts w:ascii="Calibri" w:eastAsia="Times New Roman" w:hAnsi="Calibri" w:cs="Calibri"/>
          <w:b/>
          <w:bCs/>
          <w:color w:val="000000"/>
          <w:u w:val="single"/>
        </w:rPr>
        <w:t>O PORT PC</w:t>
      </w:r>
    </w:p>
    <w:p w14:paraId="283A8BE6" w14:textId="77777777" w:rsidR="00D60255" w:rsidRPr="008C4A5D" w:rsidRDefault="00D60255" w:rsidP="000A26D8">
      <w:pPr>
        <w:spacing w:after="120"/>
        <w:jc w:val="both"/>
        <w:rPr>
          <w:rFonts w:eastAsia="Times New Roman" w:cstheme="minorHAnsi"/>
          <w:i/>
          <w:iCs/>
          <w:color w:val="000000"/>
        </w:rPr>
      </w:pPr>
      <w:r w:rsidRPr="008C4A5D">
        <w:rPr>
          <w:rFonts w:cstheme="minorHAnsi"/>
          <w:b/>
          <w:bCs/>
          <w:i/>
          <w:iCs/>
        </w:rPr>
        <w:t>Polska Organizacja Rozwoju Pomp Ciepła</w:t>
      </w:r>
      <w:r w:rsidRPr="008C4A5D">
        <w:rPr>
          <w:rFonts w:cstheme="minorHAnsi"/>
          <w:i/>
          <w:iCs/>
        </w:rPr>
        <w:t xml:space="preserve"> (PORT PC) działa na polskim rynku jako stowarzyszenie branżowe od stycznia 2011 r. Jej najważniejszym celem jest wzmocnienie wizerunku technologii pomp ciepła oraz zapewnienie harmonijnego rozwoju polskiego rynku w tym obszarze − poprzez stworzenie systemu zarządzania jakością, opracowywanie i wdrażanie najwyższych standardów technicznych oraz certyfikowanie i przeprowadzanie profesjonalnych szkoleń (EUCERT) na poziomie uznanym w skali europejskiej.</w:t>
      </w:r>
      <w:r w:rsidRPr="008C4A5D">
        <w:rPr>
          <w:rFonts w:eastAsia="Times New Roman" w:cstheme="minorHAnsi"/>
          <w:i/>
          <w:iCs/>
          <w:color w:val="000000"/>
        </w:rPr>
        <w:t xml:space="preserve"> PORT PC od 2012 r. jest członkiem Europejskiego Stowarzyszenia Pomp Ciepła (EHPA) z siedzibą w Brukseli. Ponadto współpracuje z europejskimi organizacjami branżowymi, w tym z niemieckim BWP, niemieckim stowarzyszeniem inżynierów VDI </w:t>
      </w:r>
      <w:r w:rsidRPr="008C4A5D">
        <w:rPr>
          <w:rFonts w:cstheme="minorHAnsi"/>
          <w:i/>
          <w:iCs/>
        </w:rPr>
        <w:t xml:space="preserve">oraz </w:t>
      </w:r>
      <w:proofErr w:type="spellStart"/>
      <w:r w:rsidRPr="008C4A5D">
        <w:rPr>
          <w:rFonts w:cstheme="minorHAnsi"/>
          <w:i/>
          <w:iCs/>
        </w:rPr>
        <w:t>European</w:t>
      </w:r>
      <w:proofErr w:type="spellEnd"/>
      <w:r w:rsidRPr="008C4A5D">
        <w:rPr>
          <w:rFonts w:cstheme="minorHAnsi"/>
          <w:i/>
          <w:iCs/>
        </w:rPr>
        <w:t xml:space="preserve"> </w:t>
      </w:r>
      <w:proofErr w:type="spellStart"/>
      <w:r w:rsidRPr="008C4A5D">
        <w:rPr>
          <w:rFonts w:cstheme="minorHAnsi"/>
          <w:i/>
          <w:iCs/>
        </w:rPr>
        <w:t>Geothermal</w:t>
      </w:r>
      <w:proofErr w:type="spellEnd"/>
      <w:r w:rsidRPr="008C4A5D">
        <w:rPr>
          <w:rFonts w:cstheme="minorHAnsi"/>
          <w:i/>
          <w:iCs/>
        </w:rPr>
        <w:t xml:space="preserve"> Energy </w:t>
      </w:r>
      <w:proofErr w:type="spellStart"/>
      <w:r w:rsidRPr="008C4A5D">
        <w:rPr>
          <w:rFonts w:cstheme="minorHAnsi"/>
          <w:i/>
          <w:iCs/>
        </w:rPr>
        <w:t>Council</w:t>
      </w:r>
      <w:proofErr w:type="spellEnd"/>
      <w:r w:rsidRPr="008C4A5D">
        <w:rPr>
          <w:rFonts w:cstheme="minorHAnsi"/>
          <w:i/>
          <w:iCs/>
        </w:rPr>
        <w:t xml:space="preserve"> (EGEC)</w:t>
      </w:r>
      <w:r w:rsidRPr="008C4A5D">
        <w:rPr>
          <w:rFonts w:eastAsia="Times New Roman" w:cstheme="minorHAnsi"/>
          <w:i/>
          <w:iCs/>
          <w:color w:val="000000"/>
        </w:rPr>
        <w:t xml:space="preserve">. PORT PC jest też członkiem założycielem Porozumienia Branżowego na rzecz Efektywności Energetycznej POBE (od 2018 r.), obejmującego 10 stowarzyszeń branżowych skupionych wokół efektywności energetycznej budynków. </w:t>
      </w:r>
      <w:r w:rsidRPr="008C4A5D">
        <w:rPr>
          <w:rFonts w:cstheme="minorHAnsi"/>
          <w:i/>
          <w:iCs/>
        </w:rPr>
        <w:t>Od 2025 r. PORT PC jest członkiem Krajowej Izby Gospodarczej.</w:t>
      </w:r>
    </w:p>
    <w:p w14:paraId="3FAF2D85" w14:textId="77777777" w:rsidR="00D60255" w:rsidRPr="008C4A5D" w:rsidRDefault="00D60255" w:rsidP="000A26D8">
      <w:pPr>
        <w:spacing w:after="120"/>
      </w:pPr>
      <w:r w:rsidRPr="008C4A5D">
        <w:rPr>
          <w:rFonts w:eastAsia="Times New Roman" w:cstheme="minorHAnsi"/>
          <w:i/>
          <w:iCs/>
          <w:color w:val="000000"/>
        </w:rPr>
        <w:t xml:space="preserve">Więcej informacji: </w:t>
      </w:r>
      <w:hyperlink r:id="rId8" w:history="1">
        <w:r w:rsidRPr="008C4A5D">
          <w:rPr>
            <w:rStyle w:val="Hipercze"/>
            <w:rFonts w:eastAsia="Times New Roman" w:cstheme="minorHAnsi"/>
            <w:i/>
            <w:iCs/>
          </w:rPr>
          <w:t>www.portpc.pl</w:t>
        </w:r>
      </w:hyperlink>
    </w:p>
    <w:p w14:paraId="5B147355" w14:textId="77777777" w:rsidR="00E668C7" w:rsidRPr="00711CE1" w:rsidRDefault="00E668C7" w:rsidP="000A26D8">
      <w:pPr>
        <w:spacing w:after="120" w:line="240" w:lineRule="auto"/>
        <w:rPr>
          <w:rFonts w:ascii="Calibri" w:hAnsi="Calibri" w:cs="Calibri"/>
          <w:i/>
          <w:iCs/>
        </w:rPr>
      </w:pPr>
    </w:p>
    <w:sectPr w:rsidR="00E668C7" w:rsidRPr="00711CE1" w:rsidSect="004A41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C7852" w14:textId="77777777" w:rsidR="00271356" w:rsidRDefault="00271356" w:rsidP="007E31FB">
      <w:pPr>
        <w:spacing w:after="0" w:line="240" w:lineRule="auto"/>
      </w:pPr>
      <w:r>
        <w:separator/>
      </w:r>
    </w:p>
  </w:endnote>
  <w:endnote w:type="continuationSeparator" w:id="0">
    <w:p w14:paraId="51713C7D" w14:textId="77777777" w:rsidR="00271356" w:rsidRDefault="00271356" w:rsidP="007E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13BA0" w14:textId="77777777" w:rsidR="00271356" w:rsidRDefault="00271356" w:rsidP="007E31FB">
      <w:pPr>
        <w:spacing w:after="0" w:line="240" w:lineRule="auto"/>
      </w:pPr>
      <w:r>
        <w:separator/>
      </w:r>
    </w:p>
  </w:footnote>
  <w:footnote w:type="continuationSeparator" w:id="0">
    <w:p w14:paraId="754A82C8" w14:textId="77777777" w:rsidR="00271356" w:rsidRDefault="00271356" w:rsidP="007E31FB">
      <w:pPr>
        <w:spacing w:after="0" w:line="240" w:lineRule="auto"/>
      </w:pPr>
      <w:r>
        <w:continuationSeparator/>
      </w:r>
    </w:p>
  </w:footnote>
  <w:footnote w:id="1">
    <w:p w14:paraId="6CDFCA2C" w14:textId="0813822D" w:rsidR="006656BD" w:rsidRPr="006656BD" w:rsidRDefault="006656BD" w:rsidP="006656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56BD">
        <w:rPr>
          <w:i/>
          <w:iCs/>
        </w:rPr>
        <w:t xml:space="preserve">H. </w:t>
      </w:r>
      <w:proofErr w:type="spellStart"/>
      <w:r w:rsidRPr="006656BD">
        <w:rPr>
          <w:i/>
          <w:iCs/>
        </w:rPr>
        <w:t>Johra</w:t>
      </w:r>
      <w:proofErr w:type="spellEnd"/>
      <w:r w:rsidRPr="006656BD">
        <w:rPr>
          <w:i/>
          <w:iCs/>
        </w:rPr>
        <w:t xml:space="preserve">, Performance </w:t>
      </w:r>
      <w:proofErr w:type="spellStart"/>
      <w:r w:rsidRPr="006656BD">
        <w:rPr>
          <w:i/>
          <w:iCs/>
        </w:rPr>
        <w:t>overview</w:t>
      </w:r>
      <w:proofErr w:type="spellEnd"/>
      <w:r w:rsidRPr="006656BD">
        <w:rPr>
          <w:i/>
          <w:iCs/>
        </w:rPr>
        <w:t xml:space="preserve"> of </w:t>
      </w:r>
      <w:proofErr w:type="spellStart"/>
      <w:r w:rsidRPr="006656BD">
        <w:rPr>
          <w:i/>
          <w:iCs/>
        </w:rPr>
        <w:t>caloric</w:t>
      </w:r>
      <w:proofErr w:type="spellEnd"/>
      <w:r w:rsidRPr="006656BD">
        <w:rPr>
          <w:i/>
          <w:iCs/>
        </w:rPr>
        <w:t xml:space="preserve"> </w:t>
      </w:r>
      <w:proofErr w:type="spellStart"/>
      <w:r w:rsidRPr="006656BD">
        <w:rPr>
          <w:i/>
          <w:iCs/>
        </w:rPr>
        <w:t>heat</w:t>
      </w:r>
      <w:proofErr w:type="spellEnd"/>
      <w:r w:rsidRPr="006656BD">
        <w:rPr>
          <w:i/>
          <w:iCs/>
        </w:rPr>
        <w:t xml:space="preserve"> </w:t>
      </w:r>
      <w:proofErr w:type="spellStart"/>
      <w:r w:rsidRPr="006656BD">
        <w:rPr>
          <w:i/>
          <w:iCs/>
        </w:rPr>
        <w:t>pumps</w:t>
      </w:r>
      <w:proofErr w:type="spellEnd"/>
      <w:r w:rsidRPr="006656BD">
        <w:rPr>
          <w:i/>
          <w:iCs/>
        </w:rPr>
        <w:t xml:space="preserve">: </w:t>
      </w:r>
      <w:proofErr w:type="spellStart"/>
      <w:r w:rsidRPr="006656BD">
        <w:rPr>
          <w:i/>
          <w:iCs/>
        </w:rPr>
        <w:t>magnetocaloric</w:t>
      </w:r>
      <w:proofErr w:type="spellEnd"/>
      <w:r w:rsidRPr="006656BD">
        <w:rPr>
          <w:i/>
          <w:iCs/>
        </w:rPr>
        <w:t xml:space="preserve">, </w:t>
      </w:r>
      <w:proofErr w:type="spellStart"/>
      <w:r w:rsidRPr="006656BD">
        <w:rPr>
          <w:i/>
          <w:iCs/>
        </w:rPr>
        <w:t>elastocaloric</w:t>
      </w:r>
      <w:proofErr w:type="spellEnd"/>
      <w:r w:rsidRPr="006656BD">
        <w:rPr>
          <w:i/>
          <w:iCs/>
        </w:rPr>
        <w:t xml:space="preserve">, </w:t>
      </w:r>
      <w:proofErr w:type="spellStart"/>
      <w:r w:rsidRPr="006656BD">
        <w:rPr>
          <w:i/>
          <w:iCs/>
        </w:rPr>
        <w:t>electrocaloric</w:t>
      </w:r>
      <w:proofErr w:type="spellEnd"/>
      <w:r w:rsidRPr="006656BD">
        <w:rPr>
          <w:i/>
          <w:iCs/>
        </w:rPr>
        <w:t xml:space="preserve"> and </w:t>
      </w:r>
      <w:proofErr w:type="spellStart"/>
      <w:r w:rsidRPr="006656BD">
        <w:rPr>
          <w:i/>
          <w:iCs/>
        </w:rPr>
        <w:t>barocaloric</w:t>
      </w:r>
      <w:proofErr w:type="spellEnd"/>
      <w:r w:rsidRPr="006656BD">
        <w:rPr>
          <w:i/>
          <w:iCs/>
        </w:rPr>
        <w:t xml:space="preserve"> </w:t>
      </w:r>
      <w:proofErr w:type="spellStart"/>
      <w:r w:rsidRPr="006656BD">
        <w:rPr>
          <w:i/>
          <w:iCs/>
        </w:rPr>
        <w:t>systems</w:t>
      </w:r>
      <w:proofErr w:type="spellEnd"/>
      <w:r w:rsidRPr="006656BD">
        <w:rPr>
          <w:i/>
          <w:iCs/>
        </w:rPr>
        <w:t xml:space="preserve">: Update 2024, Technical Report No. 323, </w:t>
      </w:r>
      <w:proofErr w:type="spellStart"/>
      <w:r w:rsidRPr="006656BD">
        <w:rPr>
          <w:i/>
          <w:iCs/>
        </w:rPr>
        <w:t>Department</w:t>
      </w:r>
      <w:proofErr w:type="spellEnd"/>
      <w:r w:rsidRPr="006656BD">
        <w:rPr>
          <w:i/>
          <w:iCs/>
        </w:rPr>
        <w:t xml:space="preserve"> of the </w:t>
      </w:r>
      <w:proofErr w:type="spellStart"/>
      <w:r w:rsidRPr="006656BD">
        <w:rPr>
          <w:i/>
          <w:iCs/>
        </w:rPr>
        <w:t>Built</w:t>
      </w:r>
      <w:proofErr w:type="spellEnd"/>
      <w:r w:rsidRPr="006656BD">
        <w:rPr>
          <w:i/>
          <w:iCs/>
        </w:rPr>
        <w:t xml:space="preserve"> Environment, </w:t>
      </w:r>
      <w:proofErr w:type="spellStart"/>
      <w:r w:rsidRPr="006656BD">
        <w:rPr>
          <w:i/>
          <w:iCs/>
        </w:rPr>
        <w:t>Aalborg</w:t>
      </w:r>
      <w:proofErr w:type="spellEnd"/>
      <w:r w:rsidRPr="006656BD">
        <w:rPr>
          <w:i/>
          <w:iCs/>
        </w:rPr>
        <w:t xml:space="preserve"> University, Sept. 2024. Link do raportu: </w:t>
      </w:r>
      <w:hyperlink r:id="rId1" w:history="1">
        <w:r w:rsidRPr="006656BD">
          <w:rPr>
            <w:rStyle w:val="Hipercze"/>
            <w:i/>
            <w:iCs/>
          </w:rPr>
          <w:t>Tech_report_323_Review_caloric_systems_update_2024.pdf</w:t>
        </w:r>
      </w:hyperlink>
    </w:p>
    <w:p w14:paraId="5A01DA53" w14:textId="605BF40A" w:rsidR="006656BD" w:rsidRDefault="006656B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F6DD" w14:textId="346BA3F4" w:rsidR="007E31FB" w:rsidRPr="007E31FB" w:rsidRDefault="007E31FB" w:rsidP="007E31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i/>
      </w:rPr>
    </w:pPr>
    <w:r w:rsidRPr="007E31FB">
      <w:rPr>
        <w:i/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C4618D6" wp14:editId="7E9BCCC3">
          <wp:simplePos x="0" y="0"/>
          <wp:positionH relativeFrom="margin">
            <wp:posOffset>5158740</wp:posOffset>
          </wp:positionH>
          <wp:positionV relativeFrom="margin">
            <wp:posOffset>-848360</wp:posOffset>
          </wp:positionV>
          <wp:extent cx="1021080" cy="595630"/>
          <wp:effectExtent l="0" t="0" r="7620" b="0"/>
          <wp:wrapSquare wrapText="bothSides" distT="0" distB="0" distL="114300" distR="11430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1080" cy="595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7E31FB">
      <w:rPr>
        <w:i/>
      </w:rPr>
      <w:t>Artykuł prasowy Polskiej Organizacji Rozwoju Technologii Pomp Ciepła</w:t>
    </w:r>
  </w:p>
  <w:p w14:paraId="117185A0" w14:textId="77777777" w:rsidR="007E31FB" w:rsidRDefault="007E31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4969"/>
    <w:multiLevelType w:val="hybridMultilevel"/>
    <w:tmpl w:val="06E4D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33240"/>
    <w:multiLevelType w:val="hybridMultilevel"/>
    <w:tmpl w:val="0A92EAC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482128E"/>
    <w:multiLevelType w:val="hybridMultilevel"/>
    <w:tmpl w:val="09FE9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B6169"/>
    <w:multiLevelType w:val="hybridMultilevel"/>
    <w:tmpl w:val="8EA03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0427"/>
    <w:multiLevelType w:val="hybridMultilevel"/>
    <w:tmpl w:val="FA8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006F"/>
    <w:multiLevelType w:val="hybridMultilevel"/>
    <w:tmpl w:val="BDF60FEA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15981736"/>
    <w:multiLevelType w:val="hybridMultilevel"/>
    <w:tmpl w:val="6B18E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D6632"/>
    <w:multiLevelType w:val="hybridMultilevel"/>
    <w:tmpl w:val="B77E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A1D71"/>
    <w:multiLevelType w:val="hybridMultilevel"/>
    <w:tmpl w:val="5B600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65ED2"/>
    <w:multiLevelType w:val="hybridMultilevel"/>
    <w:tmpl w:val="CC50AD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4F5615"/>
    <w:multiLevelType w:val="hybridMultilevel"/>
    <w:tmpl w:val="705C0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44C0"/>
    <w:multiLevelType w:val="multilevel"/>
    <w:tmpl w:val="7030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77A23"/>
    <w:multiLevelType w:val="hybridMultilevel"/>
    <w:tmpl w:val="B302C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847AE"/>
    <w:multiLevelType w:val="hybridMultilevel"/>
    <w:tmpl w:val="2EE69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3C1A"/>
    <w:multiLevelType w:val="hybridMultilevel"/>
    <w:tmpl w:val="180A8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165F"/>
    <w:multiLevelType w:val="hybridMultilevel"/>
    <w:tmpl w:val="CF184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A22"/>
    <w:multiLevelType w:val="hybridMultilevel"/>
    <w:tmpl w:val="B504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C0F8C"/>
    <w:multiLevelType w:val="hybridMultilevel"/>
    <w:tmpl w:val="3954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2E7F"/>
    <w:multiLevelType w:val="hybridMultilevel"/>
    <w:tmpl w:val="0C5A5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74E46"/>
    <w:multiLevelType w:val="hybridMultilevel"/>
    <w:tmpl w:val="0EA63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543A4"/>
    <w:multiLevelType w:val="hybridMultilevel"/>
    <w:tmpl w:val="5A944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A0D23"/>
    <w:multiLevelType w:val="hybridMultilevel"/>
    <w:tmpl w:val="39168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67FFE"/>
    <w:multiLevelType w:val="hybridMultilevel"/>
    <w:tmpl w:val="3190B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83A62"/>
    <w:multiLevelType w:val="hybridMultilevel"/>
    <w:tmpl w:val="1D4E9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028FC"/>
    <w:multiLevelType w:val="hybridMultilevel"/>
    <w:tmpl w:val="0EAE6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90E92"/>
    <w:multiLevelType w:val="hybridMultilevel"/>
    <w:tmpl w:val="F920D14E"/>
    <w:lvl w:ilvl="0" w:tplc="3612A9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D392C"/>
    <w:multiLevelType w:val="hybridMultilevel"/>
    <w:tmpl w:val="FAA88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F22D1"/>
    <w:multiLevelType w:val="hybridMultilevel"/>
    <w:tmpl w:val="D0C0F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04712"/>
    <w:multiLevelType w:val="hybridMultilevel"/>
    <w:tmpl w:val="A040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021DCC"/>
    <w:multiLevelType w:val="hybridMultilevel"/>
    <w:tmpl w:val="9230A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83D2E"/>
    <w:multiLevelType w:val="hybridMultilevel"/>
    <w:tmpl w:val="B6D47870"/>
    <w:lvl w:ilvl="0" w:tplc="EC1C9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8D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0A4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C0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C0D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602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EC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8AC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82E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A0C4C12"/>
    <w:multiLevelType w:val="multilevel"/>
    <w:tmpl w:val="4940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942DB"/>
    <w:multiLevelType w:val="hybridMultilevel"/>
    <w:tmpl w:val="67E8B32A"/>
    <w:lvl w:ilvl="0" w:tplc="0DC230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E0844"/>
    <w:multiLevelType w:val="hybridMultilevel"/>
    <w:tmpl w:val="89F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113D83"/>
    <w:multiLevelType w:val="multilevel"/>
    <w:tmpl w:val="03623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3501E3"/>
    <w:multiLevelType w:val="hybridMultilevel"/>
    <w:tmpl w:val="357E7EEC"/>
    <w:lvl w:ilvl="0" w:tplc="A8CAB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81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D09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4CB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3C4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26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C41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E0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04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B5D1F37"/>
    <w:multiLevelType w:val="hybridMultilevel"/>
    <w:tmpl w:val="78364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77E"/>
    <w:multiLevelType w:val="hybridMultilevel"/>
    <w:tmpl w:val="AAD2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D2285"/>
    <w:multiLevelType w:val="hybridMultilevel"/>
    <w:tmpl w:val="04801FEE"/>
    <w:lvl w:ilvl="0" w:tplc="39C21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28F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ACD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906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E85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E7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81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DCF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2D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3E14855"/>
    <w:multiLevelType w:val="hybridMultilevel"/>
    <w:tmpl w:val="4B86B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47557"/>
    <w:multiLevelType w:val="hybridMultilevel"/>
    <w:tmpl w:val="D236E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74B45"/>
    <w:multiLevelType w:val="hybridMultilevel"/>
    <w:tmpl w:val="BFA00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06790">
    <w:abstractNumId w:val="37"/>
  </w:num>
  <w:num w:numId="2" w16cid:durableId="1363751206">
    <w:abstractNumId w:val="9"/>
  </w:num>
  <w:num w:numId="3" w16cid:durableId="1293485473">
    <w:abstractNumId w:val="35"/>
  </w:num>
  <w:num w:numId="4" w16cid:durableId="1795295051">
    <w:abstractNumId w:val="38"/>
  </w:num>
  <w:num w:numId="5" w16cid:durableId="420372935">
    <w:abstractNumId w:val="33"/>
  </w:num>
  <w:num w:numId="6" w16cid:durableId="450830101">
    <w:abstractNumId w:val="4"/>
  </w:num>
  <w:num w:numId="7" w16cid:durableId="1175733142">
    <w:abstractNumId w:val="8"/>
  </w:num>
  <w:num w:numId="8" w16cid:durableId="436024588">
    <w:abstractNumId w:val="27"/>
  </w:num>
  <w:num w:numId="9" w16cid:durableId="1337419379">
    <w:abstractNumId w:val="30"/>
  </w:num>
  <w:num w:numId="10" w16cid:durableId="1952737967">
    <w:abstractNumId w:val="40"/>
  </w:num>
  <w:num w:numId="11" w16cid:durableId="1828739278">
    <w:abstractNumId w:val="5"/>
  </w:num>
  <w:num w:numId="12" w16cid:durableId="472218128">
    <w:abstractNumId w:val="10"/>
  </w:num>
  <w:num w:numId="13" w16cid:durableId="1139105583">
    <w:abstractNumId w:val="0"/>
  </w:num>
  <w:num w:numId="14" w16cid:durableId="1754668865">
    <w:abstractNumId w:val="12"/>
  </w:num>
  <w:num w:numId="15" w16cid:durableId="1592884275">
    <w:abstractNumId w:val="7"/>
  </w:num>
  <w:num w:numId="16" w16cid:durableId="473186313">
    <w:abstractNumId w:val="36"/>
  </w:num>
  <w:num w:numId="17" w16cid:durableId="622346489">
    <w:abstractNumId w:val="24"/>
  </w:num>
  <w:num w:numId="18" w16cid:durableId="684525088">
    <w:abstractNumId w:val="25"/>
  </w:num>
  <w:num w:numId="19" w16cid:durableId="804543925">
    <w:abstractNumId w:val="19"/>
  </w:num>
  <w:num w:numId="20" w16cid:durableId="2069375823">
    <w:abstractNumId w:val="18"/>
  </w:num>
  <w:num w:numId="21" w16cid:durableId="1917281955">
    <w:abstractNumId w:val="26"/>
  </w:num>
  <w:num w:numId="22" w16cid:durableId="501430325">
    <w:abstractNumId w:val="2"/>
  </w:num>
  <w:num w:numId="23" w16cid:durableId="992025521">
    <w:abstractNumId w:val="3"/>
  </w:num>
  <w:num w:numId="24" w16cid:durableId="1360350664">
    <w:abstractNumId w:val="13"/>
  </w:num>
  <w:num w:numId="25" w16cid:durableId="445731553">
    <w:abstractNumId w:val="28"/>
  </w:num>
  <w:num w:numId="26" w16cid:durableId="743529170">
    <w:abstractNumId w:val="41"/>
  </w:num>
  <w:num w:numId="27" w16cid:durableId="213733074">
    <w:abstractNumId w:val="6"/>
  </w:num>
  <w:num w:numId="28" w16cid:durableId="832650619">
    <w:abstractNumId w:val="23"/>
  </w:num>
  <w:num w:numId="29" w16cid:durableId="921260932">
    <w:abstractNumId w:val="14"/>
  </w:num>
  <w:num w:numId="30" w16cid:durableId="63525814">
    <w:abstractNumId w:val="15"/>
  </w:num>
  <w:num w:numId="31" w16cid:durableId="1137839269">
    <w:abstractNumId w:val="22"/>
  </w:num>
  <w:num w:numId="32" w16cid:durableId="188035786">
    <w:abstractNumId w:val="16"/>
  </w:num>
  <w:num w:numId="33" w16cid:durableId="1162085942">
    <w:abstractNumId w:val="1"/>
  </w:num>
  <w:num w:numId="34" w16cid:durableId="1836719693">
    <w:abstractNumId w:val="17"/>
  </w:num>
  <w:num w:numId="35" w16cid:durableId="248272182">
    <w:abstractNumId w:val="20"/>
  </w:num>
  <w:num w:numId="36" w16cid:durableId="602228912">
    <w:abstractNumId w:val="29"/>
  </w:num>
  <w:num w:numId="37" w16cid:durableId="1701738887">
    <w:abstractNumId w:val="11"/>
  </w:num>
  <w:num w:numId="38" w16cid:durableId="1229609704">
    <w:abstractNumId w:val="21"/>
  </w:num>
  <w:num w:numId="39" w16cid:durableId="1996956814">
    <w:abstractNumId w:val="34"/>
  </w:num>
  <w:num w:numId="40" w16cid:durableId="1788816570">
    <w:abstractNumId w:val="31"/>
  </w:num>
  <w:num w:numId="41" w16cid:durableId="1983466727">
    <w:abstractNumId w:val="32"/>
  </w:num>
  <w:num w:numId="42" w16cid:durableId="75432062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E5"/>
    <w:rsid w:val="0000099F"/>
    <w:rsid w:val="00001968"/>
    <w:rsid w:val="00004360"/>
    <w:rsid w:val="00011531"/>
    <w:rsid w:val="00013BD9"/>
    <w:rsid w:val="0001788F"/>
    <w:rsid w:val="000269CC"/>
    <w:rsid w:val="00032920"/>
    <w:rsid w:val="00034919"/>
    <w:rsid w:val="000439C0"/>
    <w:rsid w:val="000450B5"/>
    <w:rsid w:val="00052226"/>
    <w:rsid w:val="00052450"/>
    <w:rsid w:val="00081FEF"/>
    <w:rsid w:val="000844D8"/>
    <w:rsid w:val="00086DE2"/>
    <w:rsid w:val="00096A1F"/>
    <w:rsid w:val="000A22A7"/>
    <w:rsid w:val="000A26D8"/>
    <w:rsid w:val="000B23A1"/>
    <w:rsid w:val="000B2E2C"/>
    <w:rsid w:val="000B4F6B"/>
    <w:rsid w:val="000C023D"/>
    <w:rsid w:val="000D48A3"/>
    <w:rsid w:val="000E7DA0"/>
    <w:rsid w:val="000F4796"/>
    <w:rsid w:val="000F57DE"/>
    <w:rsid w:val="000F64B9"/>
    <w:rsid w:val="000F6A3A"/>
    <w:rsid w:val="00107E02"/>
    <w:rsid w:val="00111EE4"/>
    <w:rsid w:val="00115A51"/>
    <w:rsid w:val="00132FA2"/>
    <w:rsid w:val="00134D6C"/>
    <w:rsid w:val="001455C2"/>
    <w:rsid w:val="0015638E"/>
    <w:rsid w:val="001730B7"/>
    <w:rsid w:val="0017591E"/>
    <w:rsid w:val="001765B7"/>
    <w:rsid w:val="00180F8C"/>
    <w:rsid w:val="00184461"/>
    <w:rsid w:val="00185A8C"/>
    <w:rsid w:val="0018726B"/>
    <w:rsid w:val="001A4486"/>
    <w:rsid w:val="001A4A28"/>
    <w:rsid w:val="001A613B"/>
    <w:rsid w:val="001B4947"/>
    <w:rsid w:val="001C314B"/>
    <w:rsid w:val="001C7C17"/>
    <w:rsid w:val="001D1DDD"/>
    <w:rsid w:val="001D35D5"/>
    <w:rsid w:val="001D61F7"/>
    <w:rsid w:val="001D64F2"/>
    <w:rsid w:val="001E36C9"/>
    <w:rsid w:val="001E4FF2"/>
    <w:rsid w:val="001E6BD5"/>
    <w:rsid w:val="001F0A38"/>
    <w:rsid w:val="001F40E2"/>
    <w:rsid w:val="001F4297"/>
    <w:rsid w:val="0020506B"/>
    <w:rsid w:val="00205E81"/>
    <w:rsid w:val="00206472"/>
    <w:rsid w:val="00206A4A"/>
    <w:rsid w:val="0021068E"/>
    <w:rsid w:val="00217DA6"/>
    <w:rsid w:val="002310D9"/>
    <w:rsid w:val="00232F89"/>
    <w:rsid w:val="0023797D"/>
    <w:rsid w:val="00251379"/>
    <w:rsid w:val="00253551"/>
    <w:rsid w:val="00257574"/>
    <w:rsid w:val="0026330E"/>
    <w:rsid w:val="00271356"/>
    <w:rsid w:val="00275328"/>
    <w:rsid w:val="00276A00"/>
    <w:rsid w:val="002978C1"/>
    <w:rsid w:val="002A5802"/>
    <w:rsid w:val="002A5ED5"/>
    <w:rsid w:val="002C546E"/>
    <w:rsid w:val="002D1F8D"/>
    <w:rsid w:val="002D4DD5"/>
    <w:rsid w:val="002E2688"/>
    <w:rsid w:val="002E4819"/>
    <w:rsid w:val="002E573D"/>
    <w:rsid w:val="002F2B18"/>
    <w:rsid w:val="002F5C7D"/>
    <w:rsid w:val="00300E22"/>
    <w:rsid w:val="003012D1"/>
    <w:rsid w:val="00301C7D"/>
    <w:rsid w:val="00307613"/>
    <w:rsid w:val="00312F69"/>
    <w:rsid w:val="003155A7"/>
    <w:rsid w:val="00332A5C"/>
    <w:rsid w:val="00335337"/>
    <w:rsid w:val="00337206"/>
    <w:rsid w:val="00340F7F"/>
    <w:rsid w:val="0034219D"/>
    <w:rsid w:val="00344DAB"/>
    <w:rsid w:val="00351997"/>
    <w:rsid w:val="00352EF0"/>
    <w:rsid w:val="00362EAA"/>
    <w:rsid w:val="00363FC2"/>
    <w:rsid w:val="00366254"/>
    <w:rsid w:val="00374860"/>
    <w:rsid w:val="0037669F"/>
    <w:rsid w:val="003820D6"/>
    <w:rsid w:val="00382629"/>
    <w:rsid w:val="0039105F"/>
    <w:rsid w:val="003A2470"/>
    <w:rsid w:val="003A3E73"/>
    <w:rsid w:val="003B16AF"/>
    <w:rsid w:val="003B1CE0"/>
    <w:rsid w:val="003B3C29"/>
    <w:rsid w:val="003B60C2"/>
    <w:rsid w:val="003C0591"/>
    <w:rsid w:val="003C3C21"/>
    <w:rsid w:val="003C564B"/>
    <w:rsid w:val="003C66D6"/>
    <w:rsid w:val="003C7210"/>
    <w:rsid w:val="003D0594"/>
    <w:rsid w:val="003D3171"/>
    <w:rsid w:val="003D3FD4"/>
    <w:rsid w:val="003E40EA"/>
    <w:rsid w:val="003E4415"/>
    <w:rsid w:val="003E76EC"/>
    <w:rsid w:val="003F444B"/>
    <w:rsid w:val="003F5DF5"/>
    <w:rsid w:val="004044FA"/>
    <w:rsid w:val="00406ABE"/>
    <w:rsid w:val="00410ABD"/>
    <w:rsid w:val="004157C1"/>
    <w:rsid w:val="004240A9"/>
    <w:rsid w:val="00432603"/>
    <w:rsid w:val="004327D7"/>
    <w:rsid w:val="0043480C"/>
    <w:rsid w:val="0044351E"/>
    <w:rsid w:val="00450736"/>
    <w:rsid w:val="004534FD"/>
    <w:rsid w:val="0045535A"/>
    <w:rsid w:val="00455C01"/>
    <w:rsid w:val="00465A81"/>
    <w:rsid w:val="00472168"/>
    <w:rsid w:val="0047455E"/>
    <w:rsid w:val="004768BA"/>
    <w:rsid w:val="004776FE"/>
    <w:rsid w:val="00483EB0"/>
    <w:rsid w:val="00486D9E"/>
    <w:rsid w:val="004876C7"/>
    <w:rsid w:val="0049073C"/>
    <w:rsid w:val="004914FC"/>
    <w:rsid w:val="00495C0A"/>
    <w:rsid w:val="0049660C"/>
    <w:rsid w:val="00497786"/>
    <w:rsid w:val="004A2B3A"/>
    <w:rsid w:val="004A41E5"/>
    <w:rsid w:val="004A4284"/>
    <w:rsid w:val="004A5DD7"/>
    <w:rsid w:val="004B1C00"/>
    <w:rsid w:val="004B4147"/>
    <w:rsid w:val="004B643A"/>
    <w:rsid w:val="004D2AB2"/>
    <w:rsid w:val="004E0A4F"/>
    <w:rsid w:val="004E0E48"/>
    <w:rsid w:val="004E5542"/>
    <w:rsid w:val="004F44EF"/>
    <w:rsid w:val="00501E1B"/>
    <w:rsid w:val="00501E36"/>
    <w:rsid w:val="005022FD"/>
    <w:rsid w:val="00502500"/>
    <w:rsid w:val="00510A46"/>
    <w:rsid w:val="005113CC"/>
    <w:rsid w:val="005135F4"/>
    <w:rsid w:val="00514C12"/>
    <w:rsid w:val="00515D1B"/>
    <w:rsid w:val="00524DEA"/>
    <w:rsid w:val="0052622A"/>
    <w:rsid w:val="0055394A"/>
    <w:rsid w:val="00554855"/>
    <w:rsid w:val="00560A3E"/>
    <w:rsid w:val="00564BA4"/>
    <w:rsid w:val="00570B23"/>
    <w:rsid w:val="00571EB7"/>
    <w:rsid w:val="005730EF"/>
    <w:rsid w:val="0057593C"/>
    <w:rsid w:val="00582B60"/>
    <w:rsid w:val="00585E55"/>
    <w:rsid w:val="00586FFE"/>
    <w:rsid w:val="005870F0"/>
    <w:rsid w:val="005903CA"/>
    <w:rsid w:val="00593779"/>
    <w:rsid w:val="005A2D8A"/>
    <w:rsid w:val="005B7332"/>
    <w:rsid w:val="005C0549"/>
    <w:rsid w:val="005C2788"/>
    <w:rsid w:val="005C37BA"/>
    <w:rsid w:val="005C37DA"/>
    <w:rsid w:val="005C54C0"/>
    <w:rsid w:val="005C6B2A"/>
    <w:rsid w:val="005E401A"/>
    <w:rsid w:val="005F44C9"/>
    <w:rsid w:val="005F504F"/>
    <w:rsid w:val="00601DED"/>
    <w:rsid w:val="00602A6F"/>
    <w:rsid w:val="006079BA"/>
    <w:rsid w:val="006103D1"/>
    <w:rsid w:val="00614500"/>
    <w:rsid w:val="0062629D"/>
    <w:rsid w:val="00626C86"/>
    <w:rsid w:val="00630CF1"/>
    <w:rsid w:val="00635E09"/>
    <w:rsid w:val="00643177"/>
    <w:rsid w:val="00644E90"/>
    <w:rsid w:val="00646603"/>
    <w:rsid w:val="00651879"/>
    <w:rsid w:val="00652B02"/>
    <w:rsid w:val="00654178"/>
    <w:rsid w:val="0065750E"/>
    <w:rsid w:val="00663F63"/>
    <w:rsid w:val="006656BD"/>
    <w:rsid w:val="006722E2"/>
    <w:rsid w:val="00674B0A"/>
    <w:rsid w:val="00676831"/>
    <w:rsid w:val="00680975"/>
    <w:rsid w:val="0068448F"/>
    <w:rsid w:val="00684CDF"/>
    <w:rsid w:val="00687C41"/>
    <w:rsid w:val="00690DCF"/>
    <w:rsid w:val="006943DB"/>
    <w:rsid w:val="006A7285"/>
    <w:rsid w:val="006A78E5"/>
    <w:rsid w:val="006B052B"/>
    <w:rsid w:val="006B0D45"/>
    <w:rsid w:val="006B14F3"/>
    <w:rsid w:val="006B1EDC"/>
    <w:rsid w:val="006D0048"/>
    <w:rsid w:val="006D0EDB"/>
    <w:rsid w:val="006D30AB"/>
    <w:rsid w:val="006D3A2A"/>
    <w:rsid w:val="006D3A9D"/>
    <w:rsid w:val="006D684B"/>
    <w:rsid w:val="006E183F"/>
    <w:rsid w:val="006E2D20"/>
    <w:rsid w:val="006E416B"/>
    <w:rsid w:val="006E7571"/>
    <w:rsid w:val="006F12AD"/>
    <w:rsid w:val="006F4725"/>
    <w:rsid w:val="006F5220"/>
    <w:rsid w:val="006F78B5"/>
    <w:rsid w:val="0070159F"/>
    <w:rsid w:val="00707113"/>
    <w:rsid w:val="00711CE1"/>
    <w:rsid w:val="007209A5"/>
    <w:rsid w:val="00721281"/>
    <w:rsid w:val="00740562"/>
    <w:rsid w:val="00742F36"/>
    <w:rsid w:val="00750918"/>
    <w:rsid w:val="00755FEC"/>
    <w:rsid w:val="00756588"/>
    <w:rsid w:val="00763713"/>
    <w:rsid w:val="0076393F"/>
    <w:rsid w:val="0077124A"/>
    <w:rsid w:val="00794517"/>
    <w:rsid w:val="00796DA4"/>
    <w:rsid w:val="007A4C0D"/>
    <w:rsid w:val="007A5AD1"/>
    <w:rsid w:val="007A657B"/>
    <w:rsid w:val="007A6637"/>
    <w:rsid w:val="007A7627"/>
    <w:rsid w:val="007B401A"/>
    <w:rsid w:val="007C0C2E"/>
    <w:rsid w:val="007C2766"/>
    <w:rsid w:val="007D1CA0"/>
    <w:rsid w:val="007E31FB"/>
    <w:rsid w:val="007F1E68"/>
    <w:rsid w:val="00825993"/>
    <w:rsid w:val="00827729"/>
    <w:rsid w:val="00844C9B"/>
    <w:rsid w:val="00851547"/>
    <w:rsid w:val="0085163B"/>
    <w:rsid w:val="00851EEC"/>
    <w:rsid w:val="00854861"/>
    <w:rsid w:val="0085546E"/>
    <w:rsid w:val="00856FDD"/>
    <w:rsid w:val="00857AB7"/>
    <w:rsid w:val="00863D38"/>
    <w:rsid w:val="0088164B"/>
    <w:rsid w:val="0088292A"/>
    <w:rsid w:val="00883B85"/>
    <w:rsid w:val="008878D3"/>
    <w:rsid w:val="00891648"/>
    <w:rsid w:val="00894E6F"/>
    <w:rsid w:val="00895716"/>
    <w:rsid w:val="008A13CD"/>
    <w:rsid w:val="008A6E82"/>
    <w:rsid w:val="008B2A4F"/>
    <w:rsid w:val="008C4A5D"/>
    <w:rsid w:val="008D2EE4"/>
    <w:rsid w:val="008D5F14"/>
    <w:rsid w:val="008F2802"/>
    <w:rsid w:val="008F2F6F"/>
    <w:rsid w:val="008F43AD"/>
    <w:rsid w:val="00907AAE"/>
    <w:rsid w:val="00910CDF"/>
    <w:rsid w:val="00912B11"/>
    <w:rsid w:val="00913D8B"/>
    <w:rsid w:val="00916CCA"/>
    <w:rsid w:val="009218C4"/>
    <w:rsid w:val="00923881"/>
    <w:rsid w:val="00926CC5"/>
    <w:rsid w:val="00931862"/>
    <w:rsid w:val="00944AEC"/>
    <w:rsid w:val="00953C5C"/>
    <w:rsid w:val="00956872"/>
    <w:rsid w:val="0096200E"/>
    <w:rsid w:val="009710E9"/>
    <w:rsid w:val="009731EB"/>
    <w:rsid w:val="00974103"/>
    <w:rsid w:val="009768DE"/>
    <w:rsid w:val="009776F3"/>
    <w:rsid w:val="00981A2E"/>
    <w:rsid w:val="00981F67"/>
    <w:rsid w:val="009830E8"/>
    <w:rsid w:val="00983DEA"/>
    <w:rsid w:val="00983FCF"/>
    <w:rsid w:val="00984A71"/>
    <w:rsid w:val="0099011C"/>
    <w:rsid w:val="0099346B"/>
    <w:rsid w:val="009A494E"/>
    <w:rsid w:val="009A7FD6"/>
    <w:rsid w:val="009B3C4A"/>
    <w:rsid w:val="009C1896"/>
    <w:rsid w:val="009C3331"/>
    <w:rsid w:val="009C781A"/>
    <w:rsid w:val="009E30E4"/>
    <w:rsid w:val="009E4478"/>
    <w:rsid w:val="009E6422"/>
    <w:rsid w:val="009E784D"/>
    <w:rsid w:val="009F0188"/>
    <w:rsid w:val="009F1F5B"/>
    <w:rsid w:val="009F35E5"/>
    <w:rsid w:val="00A0263E"/>
    <w:rsid w:val="00A03365"/>
    <w:rsid w:val="00A05FC3"/>
    <w:rsid w:val="00A105ED"/>
    <w:rsid w:val="00A138E5"/>
    <w:rsid w:val="00A14181"/>
    <w:rsid w:val="00A15F37"/>
    <w:rsid w:val="00A21B9D"/>
    <w:rsid w:val="00A24FCE"/>
    <w:rsid w:val="00A250DE"/>
    <w:rsid w:val="00A378EB"/>
    <w:rsid w:val="00A40036"/>
    <w:rsid w:val="00A4034D"/>
    <w:rsid w:val="00A47201"/>
    <w:rsid w:val="00A47DC5"/>
    <w:rsid w:val="00A529CA"/>
    <w:rsid w:val="00A55C18"/>
    <w:rsid w:val="00A64D55"/>
    <w:rsid w:val="00A660AB"/>
    <w:rsid w:val="00A668EA"/>
    <w:rsid w:val="00A701A7"/>
    <w:rsid w:val="00A763EB"/>
    <w:rsid w:val="00A83409"/>
    <w:rsid w:val="00A84738"/>
    <w:rsid w:val="00A85990"/>
    <w:rsid w:val="00A936E3"/>
    <w:rsid w:val="00A943F0"/>
    <w:rsid w:val="00A961B8"/>
    <w:rsid w:val="00AA5277"/>
    <w:rsid w:val="00AB1669"/>
    <w:rsid w:val="00AB3EF9"/>
    <w:rsid w:val="00AB66A7"/>
    <w:rsid w:val="00AB6C48"/>
    <w:rsid w:val="00AE1E12"/>
    <w:rsid w:val="00AE7425"/>
    <w:rsid w:val="00AE7A9B"/>
    <w:rsid w:val="00AE7D84"/>
    <w:rsid w:val="00AF1D64"/>
    <w:rsid w:val="00AF706D"/>
    <w:rsid w:val="00B0278B"/>
    <w:rsid w:val="00B04E33"/>
    <w:rsid w:val="00B10B6C"/>
    <w:rsid w:val="00B10E1C"/>
    <w:rsid w:val="00B16F74"/>
    <w:rsid w:val="00B220AE"/>
    <w:rsid w:val="00B25C14"/>
    <w:rsid w:val="00B31C69"/>
    <w:rsid w:val="00B35601"/>
    <w:rsid w:val="00B35922"/>
    <w:rsid w:val="00B44ED5"/>
    <w:rsid w:val="00B454FE"/>
    <w:rsid w:val="00B47B60"/>
    <w:rsid w:val="00B60C38"/>
    <w:rsid w:val="00B6120E"/>
    <w:rsid w:val="00B64EF9"/>
    <w:rsid w:val="00B70A27"/>
    <w:rsid w:val="00B70CBD"/>
    <w:rsid w:val="00B7235D"/>
    <w:rsid w:val="00B75F10"/>
    <w:rsid w:val="00B90257"/>
    <w:rsid w:val="00B91C4E"/>
    <w:rsid w:val="00B95B55"/>
    <w:rsid w:val="00BA1BDF"/>
    <w:rsid w:val="00BA32DF"/>
    <w:rsid w:val="00BB20AC"/>
    <w:rsid w:val="00BB36C8"/>
    <w:rsid w:val="00BB41CF"/>
    <w:rsid w:val="00BC145E"/>
    <w:rsid w:val="00BC6ED1"/>
    <w:rsid w:val="00BD0E12"/>
    <w:rsid w:val="00BD300D"/>
    <w:rsid w:val="00BD52A4"/>
    <w:rsid w:val="00BE4672"/>
    <w:rsid w:val="00BF6A08"/>
    <w:rsid w:val="00C41043"/>
    <w:rsid w:val="00C4432F"/>
    <w:rsid w:val="00C537FC"/>
    <w:rsid w:val="00C53C35"/>
    <w:rsid w:val="00C614ED"/>
    <w:rsid w:val="00C617F7"/>
    <w:rsid w:val="00C66B8E"/>
    <w:rsid w:val="00C75E80"/>
    <w:rsid w:val="00C777D8"/>
    <w:rsid w:val="00C8188D"/>
    <w:rsid w:val="00C82180"/>
    <w:rsid w:val="00C82A32"/>
    <w:rsid w:val="00C87DFF"/>
    <w:rsid w:val="00C87FC9"/>
    <w:rsid w:val="00C9060C"/>
    <w:rsid w:val="00CA7110"/>
    <w:rsid w:val="00CC597D"/>
    <w:rsid w:val="00CC6335"/>
    <w:rsid w:val="00CC7E9C"/>
    <w:rsid w:val="00CD2610"/>
    <w:rsid w:val="00CE3039"/>
    <w:rsid w:val="00CF1524"/>
    <w:rsid w:val="00CF5DB6"/>
    <w:rsid w:val="00CF7A14"/>
    <w:rsid w:val="00D14169"/>
    <w:rsid w:val="00D215F9"/>
    <w:rsid w:val="00D23F41"/>
    <w:rsid w:val="00D33D53"/>
    <w:rsid w:val="00D41458"/>
    <w:rsid w:val="00D41FFD"/>
    <w:rsid w:val="00D4591F"/>
    <w:rsid w:val="00D52DF0"/>
    <w:rsid w:val="00D5646A"/>
    <w:rsid w:val="00D60255"/>
    <w:rsid w:val="00D611C7"/>
    <w:rsid w:val="00D621CD"/>
    <w:rsid w:val="00D651D8"/>
    <w:rsid w:val="00D7571F"/>
    <w:rsid w:val="00D775E5"/>
    <w:rsid w:val="00D83CD3"/>
    <w:rsid w:val="00D84238"/>
    <w:rsid w:val="00D84880"/>
    <w:rsid w:val="00D87B02"/>
    <w:rsid w:val="00D91575"/>
    <w:rsid w:val="00D94FFA"/>
    <w:rsid w:val="00DA23E5"/>
    <w:rsid w:val="00DA35A3"/>
    <w:rsid w:val="00DA41BB"/>
    <w:rsid w:val="00DC2CFD"/>
    <w:rsid w:val="00DD59D2"/>
    <w:rsid w:val="00DD6725"/>
    <w:rsid w:val="00DE2848"/>
    <w:rsid w:val="00DE2E52"/>
    <w:rsid w:val="00DE5498"/>
    <w:rsid w:val="00DF7E30"/>
    <w:rsid w:val="00E022D3"/>
    <w:rsid w:val="00E0538D"/>
    <w:rsid w:val="00E13043"/>
    <w:rsid w:val="00E151F0"/>
    <w:rsid w:val="00E246AB"/>
    <w:rsid w:val="00E3189D"/>
    <w:rsid w:val="00E36DB0"/>
    <w:rsid w:val="00E45D8E"/>
    <w:rsid w:val="00E463EC"/>
    <w:rsid w:val="00E5345B"/>
    <w:rsid w:val="00E5788E"/>
    <w:rsid w:val="00E579DB"/>
    <w:rsid w:val="00E61577"/>
    <w:rsid w:val="00E65CE1"/>
    <w:rsid w:val="00E668C7"/>
    <w:rsid w:val="00E66FDA"/>
    <w:rsid w:val="00E717C1"/>
    <w:rsid w:val="00E75C6B"/>
    <w:rsid w:val="00E761D8"/>
    <w:rsid w:val="00E84E37"/>
    <w:rsid w:val="00E85CD4"/>
    <w:rsid w:val="00E8730C"/>
    <w:rsid w:val="00E9137C"/>
    <w:rsid w:val="00E917F3"/>
    <w:rsid w:val="00E95563"/>
    <w:rsid w:val="00E9613F"/>
    <w:rsid w:val="00E96927"/>
    <w:rsid w:val="00EB0924"/>
    <w:rsid w:val="00EB1210"/>
    <w:rsid w:val="00EE2456"/>
    <w:rsid w:val="00EE52E9"/>
    <w:rsid w:val="00EE760C"/>
    <w:rsid w:val="00EF4B45"/>
    <w:rsid w:val="00F02594"/>
    <w:rsid w:val="00F05502"/>
    <w:rsid w:val="00F05DF4"/>
    <w:rsid w:val="00F10BF9"/>
    <w:rsid w:val="00F169DA"/>
    <w:rsid w:val="00F17ACD"/>
    <w:rsid w:val="00F211F1"/>
    <w:rsid w:val="00F21E11"/>
    <w:rsid w:val="00F248CE"/>
    <w:rsid w:val="00F315F8"/>
    <w:rsid w:val="00F35D85"/>
    <w:rsid w:val="00F44EC0"/>
    <w:rsid w:val="00F51005"/>
    <w:rsid w:val="00F51B06"/>
    <w:rsid w:val="00F52AF4"/>
    <w:rsid w:val="00F579BA"/>
    <w:rsid w:val="00F61DBA"/>
    <w:rsid w:val="00F6480F"/>
    <w:rsid w:val="00F65B9F"/>
    <w:rsid w:val="00F70E38"/>
    <w:rsid w:val="00F733EA"/>
    <w:rsid w:val="00F73E2E"/>
    <w:rsid w:val="00F76DAF"/>
    <w:rsid w:val="00F7787B"/>
    <w:rsid w:val="00F806EE"/>
    <w:rsid w:val="00F84445"/>
    <w:rsid w:val="00F85CEE"/>
    <w:rsid w:val="00F904AE"/>
    <w:rsid w:val="00F90CE9"/>
    <w:rsid w:val="00F92F6E"/>
    <w:rsid w:val="00F94496"/>
    <w:rsid w:val="00FA0167"/>
    <w:rsid w:val="00FA7B00"/>
    <w:rsid w:val="00FB1C46"/>
    <w:rsid w:val="00FB1D9C"/>
    <w:rsid w:val="00FB1E50"/>
    <w:rsid w:val="00FB36A5"/>
    <w:rsid w:val="00FC1B6D"/>
    <w:rsid w:val="00FC2BCE"/>
    <w:rsid w:val="00FC4772"/>
    <w:rsid w:val="00FC7098"/>
    <w:rsid w:val="00FD28BD"/>
    <w:rsid w:val="00FD526E"/>
    <w:rsid w:val="00FD719F"/>
    <w:rsid w:val="00FE0842"/>
    <w:rsid w:val="00FE5BFA"/>
    <w:rsid w:val="00FE7D1D"/>
    <w:rsid w:val="00FF0011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FC2C"/>
  <w15:chartTrackingRefBased/>
  <w15:docId w15:val="{201FA9E4-68F2-4EE2-AE12-D5FC079C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C3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4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D9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C3C2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table" w:styleId="Tabela-Siatka">
    <w:name w:val="Table Grid"/>
    <w:basedOn w:val="Standardowy"/>
    <w:uiPriority w:val="39"/>
    <w:rsid w:val="003D0594"/>
    <w:pPr>
      <w:spacing w:after="0" w:line="240" w:lineRule="auto"/>
    </w:pPr>
    <w:rPr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4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E6F"/>
    <w:pPr>
      <w:spacing w:after="37" w:line="240" w:lineRule="auto"/>
      <w:ind w:left="730" w:hanging="37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E6F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1FB"/>
  </w:style>
  <w:style w:type="paragraph" w:styleId="Stopka">
    <w:name w:val="footer"/>
    <w:basedOn w:val="Normalny"/>
    <w:link w:val="Stopka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1FB"/>
  </w:style>
  <w:style w:type="character" w:styleId="Hipercze">
    <w:name w:val="Hyperlink"/>
    <w:basedOn w:val="Domylnaczcionkaakapitu"/>
    <w:uiPriority w:val="99"/>
    <w:unhideWhenUsed/>
    <w:rsid w:val="008259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993"/>
    <w:rPr>
      <w:color w:val="605E5C"/>
      <w:shd w:val="clear" w:color="auto" w:fill="E1DFDD"/>
    </w:rPr>
  </w:style>
  <w:style w:type="paragraph" w:customStyle="1" w:styleId="Default">
    <w:name w:val="Default"/>
    <w:rsid w:val="009218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961B8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A5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55C18"/>
    <w:rPr>
      <w:b/>
      <w:bCs/>
    </w:rPr>
  </w:style>
  <w:style w:type="character" w:styleId="Uwydatnienie">
    <w:name w:val="Emphasis"/>
    <w:basedOn w:val="Domylnaczcionkaakapitu"/>
    <w:uiPriority w:val="20"/>
    <w:qFormat/>
    <w:rsid w:val="0023797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4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r-b88u0q">
    <w:name w:val="r-b88u0q"/>
    <w:basedOn w:val="Domylnaczcionkaakapitu"/>
    <w:rsid w:val="007C2766"/>
  </w:style>
  <w:style w:type="paragraph" w:styleId="Tekstpodstawowy">
    <w:name w:val="Body Text"/>
    <w:basedOn w:val="Normalny"/>
    <w:link w:val="TekstpodstawowyZnak"/>
    <w:uiPriority w:val="1"/>
    <w:qFormat/>
    <w:rsid w:val="00D5646A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5646A"/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56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56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56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6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1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2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2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7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p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bn.aau.dk/ws/portalfiles/portal/747557298/Tech_report_323_Review_caloric_systems_update_202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986BE-11F2-4824-8F06-5EA220DF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Jania</dc:creator>
  <cp:keywords/>
  <dc:description/>
  <cp:lastModifiedBy>Paweł Lachman</cp:lastModifiedBy>
  <cp:revision>4</cp:revision>
  <dcterms:created xsi:type="dcterms:W3CDTF">2025-12-17T08:04:00Z</dcterms:created>
  <dcterms:modified xsi:type="dcterms:W3CDTF">2025-12-17T08:17:00Z</dcterms:modified>
</cp:coreProperties>
</file>